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E03A">
      <w:pPr>
        <w:widowControl/>
        <w:jc w:val="left"/>
        <w:rPr>
          <w:sz w:val="24"/>
        </w:rPr>
      </w:pPr>
    </w:p>
    <w:p w14:paraId="5BC5D2D0">
      <w:pPr>
        <w:pStyle w:val="3"/>
        <w:spacing w:line="278" w:lineRule="auto"/>
        <w:ind w:right="651" w:firstLine="113" w:firstLineChars="50"/>
        <w:jc w:val="center"/>
        <w:rPr>
          <w:rFonts w:ascii="Arial" w:hAnsi="Arial" w:cs="Arial"/>
          <w:spacing w:val="-4"/>
          <w:szCs w:val="22"/>
          <w:lang w:eastAsia="zh-CN"/>
        </w:rPr>
      </w:pPr>
      <w:r>
        <w:rPr>
          <w:rFonts w:ascii="Arial" w:hAnsi="Arial" w:cs="Arial"/>
          <w:b/>
          <w:bCs/>
          <w:spacing w:val="-7"/>
          <w:sz w:val="24"/>
        </w:rPr>
        <w:t>Exhibition Liability Insurance</w:t>
      </w:r>
    </w:p>
    <w:p w14:paraId="69191928">
      <w:pPr>
        <w:pStyle w:val="3"/>
        <w:spacing w:line="278" w:lineRule="auto"/>
        <w:ind w:right="651"/>
        <w:rPr>
          <w:rFonts w:ascii="Arial" w:hAnsi="Arial" w:cs="Arial"/>
          <w:spacing w:val="-4"/>
          <w:szCs w:val="22"/>
          <w:lang w:eastAsia="zh-CN"/>
        </w:rPr>
      </w:pPr>
      <w:r>
        <w:rPr>
          <w:rFonts w:ascii="Arial" w:hAnsi="Arial" w:cs="Arial"/>
          <w:spacing w:val="-4"/>
          <w:szCs w:val="22"/>
          <w:lang w:eastAsia="zh-CN"/>
        </w:rPr>
        <w:t>To transfer the responsibility and risk of using or building special exhibition booths between the customization party and the contractor, and to ensure the safety of on-site construction personnel, each special exhibition booth must purchase exhibition liability insurance that meets the requirements of this regulation in advance, otherwise it will not pass the special exhibition drawing review. As the insurance service provider for this exhibition,</w:t>
      </w:r>
      <w:r>
        <w:rPr>
          <w:rFonts w:ascii="Arial" w:hAnsi="Arial" w:cs="Arial"/>
          <w:b/>
          <w:bCs/>
          <w:spacing w:val="-4"/>
          <w:szCs w:val="22"/>
          <w:lang w:eastAsia="zh-CN"/>
        </w:rPr>
        <w:t xml:space="preserve"> Ping An Property Insurance</w:t>
      </w:r>
      <w:r>
        <w:rPr>
          <w:rFonts w:ascii="Arial" w:hAnsi="Arial" w:cs="Arial"/>
          <w:spacing w:val="-4"/>
          <w:szCs w:val="22"/>
          <w:lang w:eastAsia="zh-CN"/>
        </w:rPr>
        <w:t xml:space="preserve"> provides preferential unified insurance conditions and services, including pre exhibition insurance services, on-site insurance services, on-site accident reporting and claims processing. Please contact the insurance service provider in advance to issue a policy that meets the above coverage requirements to avoid affecting the reporting time.</w:t>
      </w:r>
    </w:p>
    <w:p w14:paraId="02E6F4CB">
      <w:pPr>
        <w:pStyle w:val="3"/>
        <w:spacing w:line="278" w:lineRule="auto"/>
        <w:ind w:right="651"/>
        <w:rPr>
          <w:spacing w:val="-4"/>
          <w:szCs w:val="22"/>
          <w:lang w:eastAsia="zh-CN"/>
        </w:rPr>
      </w:pPr>
    </w:p>
    <w:p w14:paraId="4FF1FDFC">
      <w:pPr>
        <w:tabs>
          <w:tab w:val="left" w:pos="567"/>
        </w:tabs>
        <w:autoSpaceDE w:val="0"/>
        <w:autoSpaceDN w:val="0"/>
        <w:spacing w:before="96" w:after="34"/>
        <w:ind w:left="142"/>
        <w:rPr>
          <w:rFonts w:hint="eastAsia"/>
          <w:b/>
          <w:bCs/>
          <w:spacing w:val="-7"/>
          <w:sz w:val="24"/>
        </w:rPr>
      </w:pPr>
      <w:r>
        <w:rPr>
          <w:b/>
          <w:bCs/>
          <w:spacing w:val="-7"/>
          <w:sz w:val="24"/>
        </w:rPr>
        <w:t>1) Requirements for Exhibition Liability Insurance Content</w:t>
      </w:r>
    </w:p>
    <w:tbl>
      <w:tblPr>
        <w:tblStyle w:val="19"/>
        <w:tblW w:w="77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6"/>
        <w:gridCol w:w="1917"/>
        <w:gridCol w:w="1934"/>
        <w:gridCol w:w="1600"/>
      </w:tblGrid>
      <w:tr w14:paraId="7366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36" w:type="dxa"/>
            <w:shd w:val="clear" w:color="auto" w:fill="C00000"/>
            <w:vAlign w:val="center"/>
          </w:tcPr>
          <w:p w14:paraId="32087A69">
            <w:pPr>
              <w:pStyle w:val="20"/>
              <w:spacing w:line="292" w:lineRule="exact"/>
              <w:ind w:left="564"/>
              <w:rPr>
                <w:rFonts w:ascii="Microsoft YaHei UI" w:eastAsia="Microsoft YaHei UI"/>
                <w:b/>
                <w:sz w:val="21"/>
              </w:rPr>
            </w:pPr>
            <w:r>
              <w:rPr>
                <w:rFonts w:hint="eastAsia" w:ascii="Microsoft YaHei UI" w:eastAsia="Microsoft YaHei UI"/>
                <w:b/>
                <w:color w:val="FFFFFF"/>
                <w:spacing w:val="-4"/>
                <w:sz w:val="21"/>
              </w:rPr>
              <w:t>Booth Area</w:t>
            </w:r>
          </w:p>
        </w:tc>
        <w:tc>
          <w:tcPr>
            <w:tcW w:w="1917" w:type="dxa"/>
            <w:shd w:val="clear" w:color="auto" w:fill="C00000"/>
          </w:tcPr>
          <w:p w14:paraId="0A4CECB5">
            <w:pPr>
              <w:pStyle w:val="20"/>
              <w:spacing w:line="292" w:lineRule="exact"/>
              <w:ind w:left="564"/>
              <w:rPr>
                <w:rFonts w:ascii="Microsoft YaHei UI" w:eastAsia="Microsoft YaHei UI"/>
                <w:b/>
                <w:sz w:val="21"/>
              </w:rPr>
            </w:pPr>
            <w:r>
              <w:rPr>
                <w:rFonts w:ascii="Microsoft YaHei UI" w:eastAsia="Microsoft YaHei UI"/>
                <w:b/>
                <w:color w:val="FFFFFF"/>
                <w:spacing w:val="-4"/>
                <w:sz w:val="21"/>
              </w:rPr>
              <w:t>Aggregate Limit of Indemnity</w:t>
            </w:r>
          </w:p>
        </w:tc>
        <w:tc>
          <w:tcPr>
            <w:tcW w:w="1934" w:type="dxa"/>
            <w:shd w:val="clear" w:color="auto" w:fill="C00000"/>
          </w:tcPr>
          <w:p w14:paraId="44219812">
            <w:pPr>
              <w:pStyle w:val="20"/>
              <w:spacing w:line="292" w:lineRule="exact"/>
              <w:ind w:left="636"/>
              <w:rPr>
                <w:rFonts w:ascii="Microsoft YaHei UI" w:eastAsia="Microsoft YaHei UI"/>
                <w:b/>
                <w:sz w:val="21"/>
              </w:rPr>
            </w:pPr>
            <w:r>
              <w:rPr>
                <w:rFonts w:ascii="Microsoft YaHei UI" w:eastAsia="Microsoft YaHei UI"/>
                <w:b/>
                <w:color w:val="FFFFFF"/>
                <w:spacing w:val="-4"/>
                <w:sz w:val="21"/>
              </w:rPr>
              <w:t>Limit per accident</w:t>
            </w:r>
          </w:p>
        </w:tc>
        <w:tc>
          <w:tcPr>
            <w:tcW w:w="1600" w:type="dxa"/>
            <w:shd w:val="clear" w:color="auto" w:fill="C00000"/>
          </w:tcPr>
          <w:p w14:paraId="57D3CCD8">
            <w:pPr>
              <w:pStyle w:val="20"/>
              <w:spacing w:line="292" w:lineRule="exact"/>
              <w:ind w:left="332"/>
              <w:rPr>
                <w:rFonts w:ascii="Microsoft YaHei UI" w:eastAsia="Microsoft YaHei UI"/>
                <w:b/>
                <w:sz w:val="21"/>
              </w:rPr>
            </w:pPr>
            <w:r>
              <w:rPr>
                <w:rFonts w:ascii="Microsoft YaHei UI" w:eastAsia="Microsoft YaHei UI"/>
                <w:b/>
                <w:sz w:val="21"/>
              </w:rPr>
              <w:t>Limit per person per session</w:t>
            </w:r>
          </w:p>
        </w:tc>
      </w:tr>
      <w:tr w14:paraId="759D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36" w:type="dxa"/>
          </w:tcPr>
          <w:p w14:paraId="398917AE">
            <w:pPr>
              <w:pStyle w:val="20"/>
              <w:spacing w:before="9"/>
              <w:ind w:left="107"/>
              <w:rPr>
                <w:rFonts w:hint="eastAsia"/>
                <w:sz w:val="21"/>
                <w:lang w:eastAsia="zh-CN"/>
              </w:rPr>
            </w:pPr>
            <w:r>
              <w:rPr>
                <w:rFonts w:hint="eastAsia"/>
              </w:rPr>
              <w:t>T</w:t>
            </w:r>
            <w:r>
              <w:t>he cumulative compensation limit</w:t>
            </w:r>
          </w:p>
        </w:tc>
        <w:tc>
          <w:tcPr>
            <w:tcW w:w="1917" w:type="dxa"/>
          </w:tcPr>
          <w:p w14:paraId="5B5E4068">
            <w:pPr>
              <w:pStyle w:val="20"/>
              <w:spacing w:before="9"/>
              <w:ind w:left="108"/>
              <w:rPr>
                <w:sz w:val="21"/>
              </w:rPr>
            </w:pPr>
            <w:r>
              <w:rPr>
                <w:rFonts w:hint="eastAsia"/>
                <w:spacing w:val="-9"/>
                <w:sz w:val="21"/>
                <w:lang w:eastAsia="zh-CN"/>
              </w:rPr>
              <w:t>RMB：</w:t>
            </w:r>
            <w:r>
              <w:rPr>
                <w:spacing w:val="-9"/>
                <w:sz w:val="21"/>
              </w:rPr>
              <w:t>300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c>
          <w:tcPr>
            <w:tcW w:w="1934" w:type="dxa"/>
          </w:tcPr>
          <w:p w14:paraId="49D9B996">
            <w:pPr>
              <w:pStyle w:val="20"/>
              <w:spacing w:before="9"/>
              <w:ind w:left="108"/>
              <w:rPr>
                <w:sz w:val="21"/>
              </w:rPr>
            </w:pPr>
            <w:r>
              <w:rPr>
                <w:rFonts w:hint="eastAsia"/>
                <w:spacing w:val="-9"/>
                <w:sz w:val="21"/>
                <w:lang w:eastAsia="zh-CN"/>
              </w:rPr>
              <w:t>RMB：</w:t>
            </w:r>
            <w:r>
              <w:rPr>
                <w:spacing w:val="-9"/>
                <w:sz w:val="21"/>
              </w:rPr>
              <w:t>100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c>
          <w:tcPr>
            <w:tcW w:w="1600" w:type="dxa"/>
          </w:tcPr>
          <w:p w14:paraId="40B1873C">
            <w:pPr>
              <w:pStyle w:val="20"/>
              <w:rPr>
                <w:rFonts w:ascii="Times New Roman"/>
                <w:sz w:val="20"/>
              </w:rPr>
            </w:pPr>
          </w:p>
        </w:tc>
      </w:tr>
      <w:tr w14:paraId="5EEE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36" w:type="dxa"/>
          </w:tcPr>
          <w:p w14:paraId="43548CAC">
            <w:pPr>
              <w:pStyle w:val="20"/>
              <w:spacing w:before="9"/>
              <w:ind w:left="107"/>
              <w:rPr>
                <w:sz w:val="21"/>
              </w:rPr>
            </w:pPr>
            <w:r>
              <w:rPr>
                <w:rFonts w:hint="eastAsia"/>
              </w:rPr>
              <w:t>E</w:t>
            </w:r>
            <w:r>
              <w:t>ach person per accident compensation limit</w:t>
            </w:r>
          </w:p>
        </w:tc>
        <w:tc>
          <w:tcPr>
            <w:tcW w:w="1917" w:type="dxa"/>
          </w:tcPr>
          <w:p w14:paraId="1DA58CA9">
            <w:pPr>
              <w:pStyle w:val="20"/>
              <w:spacing w:before="9"/>
              <w:ind w:left="108"/>
              <w:rPr>
                <w:sz w:val="21"/>
              </w:rPr>
            </w:pPr>
            <w:r>
              <w:rPr>
                <w:rFonts w:hint="eastAsia"/>
                <w:spacing w:val="-9"/>
                <w:sz w:val="21"/>
                <w:lang w:eastAsia="zh-CN"/>
              </w:rPr>
              <w:t>RMB：</w:t>
            </w:r>
            <w:r>
              <w:rPr>
                <w:spacing w:val="-9"/>
                <w:sz w:val="21"/>
              </w:rPr>
              <w:t>300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c>
          <w:tcPr>
            <w:tcW w:w="1934" w:type="dxa"/>
          </w:tcPr>
          <w:p w14:paraId="7311F1A1">
            <w:pPr>
              <w:pStyle w:val="20"/>
              <w:spacing w:before="9"/>
              <w:ind w:left="108"/>
              <w:rPr>
                <w:sz w:val="21"/>
              </w:rPr>
            </w:pPr>
            <w:r>
              <w:rPr>
                <w:rFonts w:hint="eastAsia"/>
                <w:spacing w:val="-9"/>
                <w:sz w:val="21"/>
                <w:lang w:eastAsia="zh-CN"/>
              </w:rPr>
              <w:t>RMB：</w:t>
            </w:r>
            <w:r>
              <w:rPr>
                <w:spacing w:val="-9"/>
                <w:sz w:val="21"/>
              </w:rPr>
              <w:t>300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c>
          <w:tcPr>
            <w:tcW w:w="1600" w:type="dxa"/>
          </w:tcPr>
          <w:p w14:paraId="126F9D36">
            <w:pPr>
              <w:pStyle w:val="20"/>
              <w:spacing w:before="9"/>
              <w:ind w:left="106"/>
              <w:rPr>
                <w:sz w:val="21"/>
              </w:rPr>
            </w:pPr>
            <w:r>
              <w:rPr>
                <w:rFonts w:hint="eastAsia"/>
                <w:spacing w:val="-9"/>
                <w:sz w:val="21"/>
                <w:lang w:eastAsia="zh-CN"/>
              </w:rPr>
              <w:t>RMB：</w:t>
            </w:r>
            <w:r>
              <w:rPr>
                <w:spacing w:val="-9"/>
                <w:sz w:val="21"/>
              </w:rPr>
              <w:t>100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r>
      <w:tr w14:paraId="0160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36" w:type="dxa"/>
          </w:tcPr>
          <w:p w14:paraId="0A4E79C6">
            <w:pPr>
              <w:pStyle w:val="20"/>
              <w:spacing w:before="8"/>
              <w:ind w:left="107"/>
              <w:rPr>
                <w:sz w:val="21"/>
              </w:rPr>
            </w:pPr>
            <w:r>
              <w:rPr>
                <w:rFonts w:hint="eastAsia"/>
              </w:rPr>
              <w:t>T</w:t>
            </w:r>
            <w:r>
              <w:t>he amount of each liability compensation limit</w:t>
            </w:r>
          </w:p>
        </w:tc>
        <w:tc>
          <w:tcPr>
            <w:tcW w:w="1917" w:type="dxa"/>
          </w:tcPr>
          <w:p w14:paraId="7FA26556">
            <w:pPr>
              <w:pStyle w:val="20"/>
              <w:spacing w:before="8"/>
              <w:ind w:left="108"/>
              <w:rPr>
                <w:sz w:val="21"/>
              </w:rPr>
            </w:pPr>
            <w:r>
              <w:rPr>
                <w:rFonts w:hint="eastAsia"/>
                <w:spacing w:val="-9"/>
                <w:sz w:val="21"/>
                <w:lang w:eastAsia="zh-CN"/>
              </w:rPr>
              <w:t>RMB：</w:t>
            </w:r>
            <w:r>
              <w:rPr>
                <w:spacing w:val="-9"/>
                <w:sz w:val="21"/>
              </w:rPr>
              <w:t>400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c>
          <w:tcPr>
            <w:tcW w:w="1934" w:type="dxa"/>
          </w:tcPr>
          <w:p w14:paraId="14168E3A">
            <w:pPr>
              <w:pStyle w:val="20"/>
              <w:spacing w:before="8"/>
              <w:ind w:left="108"/>
              <w:rPr>
                <w:sz w:val="21"/>
              </w:rPr>
            </w:pPr>
            <w:r>
              <w:rPr>
                <w:rFonts w:hint="eastAsia"/>
                <w:spacing w:val="-9"/>
                <w:sz w:val="21"/>
                <w:lang w:eastAsia="zh-CN"/>
              </w:rPr>
              <w:t>RMB：</w:t>
            </w:r>
            <w:r>
              <w:rPr>
                <w:spacing w:val="-9"/>
                <w:sz w:val="21"/>
              </w:rPr>
              <w:t>400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c>
          <w:tcPr>
            <w:tcW w:w="1600" w:type="dxa"/>
          </w:tcPr>
          <w:p w14:paraId="405B15D2">
            <w:pPr>
              <w:pStyle w:val="20"/>
              <w:spacing w:before="8"/>
              <w:ind w:left="106"/>
              <w:rPr>
                <w:sz w:val="21"/>
              </w:rPr>
            </w:pPr>
            <w:r>
              <w:rPr>
                <w:rFonts w:hint="eastAsia"/>
                <w:spacing w:val="-9"/>
                <w:sz w:val="21"/>
                <w:lang w:eastAsia="zh-CN"/>
              </w:rPr>
              <w:t>RMB：</w:t>
            </w:r>
            <w:r>
              <w:rPr>
                <w:spacing w:val="-9"/>
                <w:sz w:val="21"/>
              </w:rPr>
              <w:t>100</w:t>
            </w:r>
            <w:r>
              <w:rPr>
                <w:spacing w:val="-31"/>
                <w:sz w:val="21"/>
              </w:rPr>
              <w:t xml:space="preserve"> </w:t>
            </w:r>
            <w:r>
              <w:rPr>
                <w:rFonts w:hint="eastAsia"/>
                <w:spacing w:val="-31"/>
                <w:sz w:val="21"/>
                <w:lang w:eastAsia="zh-CN"/>
              </w:rPr>
              <w:t>million</w:t>
            </w:r>
            <w:r>
              <w:rPr>
                <w:spacing w:val="-31"/>
                <w:sz w:val="21"/>
                <w:lang w:eastAsia="zh-CN"/>
              </w:rPr>
              <w:t xml:space="preserve"> </w:t>
            </w:r>
            <w:r>
              <w:rPr>
                <w:rFonts w:hint="eastAsia"/>
                <w:spacing w:val="-31"/>
                <w:sz w:val="21"/>
                <w:lang w:eastAsia="zh-CN"/>
              </w:rPr>
              <w:t>Yuan</w:t>
            </w:r>
          </w:p>
        </w:tc>
      </w:tr>
      <w:tr w14:paraId="6D97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87" w:type="dxa"/>
            <w:gridSpan w:val="4"/>
          </w:tcPr>
          <w:p w14:paraId="7ECF30FE">
            <w:pPr>
              <w:pStyle w:val="20"/>
              <w:spacing w:before="8"/>
              <w:ind w:left="107"/>
              <w:rPr>
                <w:sz w:val="21"/>
                <w:lang w:eastAsia="zh-CN"/>
              </w:rPr>
            </w:pPr>
            <w:r>
              <w:rPr>
                <w:rFonts w:hint="eastAsia"/>
                <w:spacing w:val="-8"/>
                <w:sz w:val="21"/>
                <w:lang w:eastAsia="zh-CN"/>
              </w:rPr>
              <w:t>T</w:t>
            </w:r>
            <w:r>
              <w:rPr>
                <w:spacing w:val="-29"/>
                <w:sz w:val="21"/>
                <w:lang w:eastAsia="zh-CN"/>
              </w:rPr>
              <w:t>he cumulative compensation for a single booth is 10 million yuan</w:t>
            </w:r>
          </w:p>
        </w:tc>
      </w:tr>
    </w:tbl>
    <w:p w14:paraId="699B74D9">
      <w:pPr>
        <w:pStyle w:val="3"/>
        <w:spacing w:before="6"/>
        <w:rPr>
          <w:rFonts w:ascii="Arial"/>
          <w:sz w:val="22"/>
          <w:lang w:eastAsia="zh-CN"/>
        </w:rPr>
      </w:pPr>
    </w:p>
    <w:p w14:paraId="0BDE86B8">
      <w:pPr>
        <w:tabs>
          <w:tab w:val="left" w:pos="567"/>
        </w:tabs>
        <w:autoSpaceDE w:val="0"/>
        <w:autoSpaceDN w:val="0"/>
        <w:spacing w:before="96" w:after="34"/>
        <w:ind w:left="142"/>
        <w:rPr>
          <w:b/>
          <w:bCs/>
          <w:spacing w:val="-7"/>
          <w:sz w:val="24"/>
        </w:rPr>
      </w:pPr>
      <w:r>
        <w:rPr>
          <w:b/>
          <w:bCs/>
          <w:spacing w:val="-7"/>
          <w:sz w:val="24"/>
        </w:rPr>
        <w:t>2</w:t>
      </w:r>
      <w:r>
        <w:rPr>
          <w:rFonts w:hint="eastAsia"/>
          <w:b/>
          <w:bCs/>
          <w:spacing w:val="-7"/>
          <w:sz w:val="24"/>
        </w:rPr>
        <w:t>）P</w:t>
      </w:r>
      <w:r>
        <w:rPr>
          <w:b/>
          <w:bCs/>
          <w:spacing w:val="-7"/>
          <w:sz w:val="24"/>
        </w:rPr>
        <w:t>remium standard</w:t>
      </w:r>
    </w:p>
    <w:tbl>
      <w:tblPr>
        <w:tblStyle w:val="19"/>
        <w:tblW w:w="77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6"/>
        <w:gridCol w:w="2069"/>
        <w:gridCol w:w="3392"/>
      </w:tblGrid>
      <w:tr w14:paraId="0900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26" w:type="dxa"/>
            <w:shd w:val="clear" w:color="auto" w:fill="C00000"/>
          </w:tcPr>
          <w:p w14:paraId="72E30B2B">
            <w:pPr>
              <w:pStyle w:val="20"/>
              <w:spacing w:line="292" w:lineRule="exact"/>
              <w:ind w:left="761"/>
              <w:rPr>
                <w:rFonts w:ascii="Microsoft YaHei UI" w:eastAsia="Microsoft YaHei UI"/>
                <w:b/>
                <w:sz w:val="20"/>
              </w:rPr>
            </w:pPr>
            <w:r>
              <w:rPr>
                <w:rFonts w:hint="eastAsia" w:ascii="Microsoft YaHei UI" w:eastAsia="Microsoft YaHei UI"/>
                <w:b/>
                <w:color w:val="FFFFFF"/>
                <w:spacing w:val="-4"/>
                <w:sz w:val="21"/>
              </w:rPr>
              <w:t>Booth Area</w:t>
            </w:r>
          </w:p>
        </w:tc>
        <w:tc>
          <w:tcPr>
            <w:tcW w:w="2069" w:type="dxa"/>
            <w:shd w:val="clear" w:color="auto" w:fill="C00000"/>
          </w:tcPr>
          <w:p w14:paraId="0B307805">
            <w:pPr>
              <w:pStyle w:val="20"/>
              <w:spacing w:line="292" w:lineRule="exact"/>
              <w:ind w:firstLine="606" w:firstLineChars="300"/>
              <w:rPr>
                <w:rFonts w:ascii="Microsoft YaHei UI" w:eastAsia="Microsoft YaHei UI"/>
                <w:b/>
                <w:color w:val="FFFFFF"/>
                <w:spacing w:val="-4"/>
                <w:sz w:val="21"/>
              </w:rPr>
            </w:pPr>
            <w:r>
              <w:rPr>
                <w:rFonts w:hint="eastAsia" w:ascii="Microsoft YaHei UI" w:eastAsia="Microsoft YaHei UI"/>
                <w:b/>
                <w:color w:val="FFFFFF"/>
                <w:spacing w:val="-4"/>
                <w:sz w:val="21"/>
              </w:rPr>
              <w:t>P</w:t>
            </w:r>
            <w:r>
              <w:rPr>
                <w:rFonts w:ascii="Microsoft YaHei UI" w:eastAsia="Microsoft YaHei UI"/>
                <w:b/>
                <w:color w:val="FFFFFF"/>
                <w:spacing w:val="-4"/>
                <w:sz w:val="21"/>
              </w:rPr>
              <w:t>remium</w:t>
            </w:r>
          </w:p>
        </w:tc>
        <w:tc>
          <w:tcPr>
            <w:tcW w:w="3392" w:type="dxa"/>
            <w:shd w:val="clear" w:color="auto" w:fill="C00000"/>
          </w:tcPr>
          <w:p w14:paraId="5D7913FB">
            <w:pPr>
              <w:pStyle w:val="20"/>
              <w:spacing w:line="292" w:lineRule="exact"/>
              <w:ind w:right="2005" w:firstLine="700" w:firstLineChars="350"/>
              <w:rPr>
                <w:rFonts w:ascii="Microsoft YaHei UI" w:eastAsia="Microsoft YaHei UI"/>
                <w:b/>
                <w:sz w:val="20"/>
              </w:rPr>
            </w:pPr>
            <w:r>
              <w:rPr>
                <w:rFonts w:hint="eastAsia" w:ascii="Microsoft YaHei UI" w:eastAsia="Microsoft YaHei UI"/>
                <w:b/>
                <w:sz w:val="20"/>
                <w:lang w:eastAsia="zh-CN"/>
              </w:rPr>
              <w:t>Notes</w:t>
            </w:r>
          </w:p>
        </w:tc>
      </w:tr>
      <w:tr w14:paraId="64DD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26" w:type="dxa"/>
          </w:tcPr>
          <w:p w14:paraId="7311C513">
            <w:pPr>
              <w:pStyle w:val="20"/>
              <w:spacing w:before="16"/>
              <w:ind w:left="276"/>
              <w:rPr>
                <w:sz w:val="20"/>
              </w:rPr>
            </w:pPr>
            <w:r>
              <w:rPr>
                <w:spacing w:val="-18"/>
                <w:sz w:val="20"/>
              </w:rPr>
              <w:t>≤54㎡</w:t>
            </w:r>
          </w:p>
        </w:tc>
        <w:tc>
          <w:tcPr>
            <w:tcW w:w="2069" w:type="dxa"/>
          </w:tcPr>
          <w:p w14:paraId="0BC26397">
            <w:pPr>
              <w:pStyle w:val="20"/>
              <w:spacing w:before="17"/>
              <w:ind w:left="714" w:right="708"/>
              <w:jc w:val="center"/>
              <w:rPr>
                <w:sz w:val="20"/>
              </w:rPr>
            </w:pPr>
            <w:r>
              <w:rPr>
                <w:spacing w:val="-7"/>
                <w:sz w:val="20"/>
              </w:rPr>
              <w:t>200</w:t>
            </w:r>
            <w:r>
              <w:rPr>
                <w:spacing w:val="-30"/>
                <w:sz w:val="20"/>
              </w:rPr>
              <w:t xml:space="preserve"> 元</w:t>
            </w:r>
          </w:p>
        </w:tc>
        <w:tc>
          <w:tcPr>
            <w:tcW w:w="3392" w:type="dxa"/>
            <w:vMerge w:val="restart"/>
          </w:tcPr>
          <w:p w14:paraId="2E78747E">
            <w:pPr>
              <w:pStyle w:val="20"/>
              <w:numPr>
                <w:ilvl w:val="0"/>
                <w:numId w:val="1"/>
              </w:numPr>
              <w:tabs>
                <w:tab w:val="left" w:pos="684"/>
              </w:tabs>
              <w:spacing w:before="17"/>
              <w:rPr>
                <w:rFonts w:hint="eastAsia"/>
                <w:sz w:val="20"/>
                <w:lang w:eastAsia="zh-CN"/>
              </w:rPr>
            </w:pPr>
            <w:r>
              <w:rPr>
                <w:sz w:val="20"/>
                <w:lang w:eastAsia="zh-CN"/>
              </w:rPr>
              <w:t>1. Deductible: Deductible amount for each accident: Deductible amount for property damage: 0</w:t>
            </w:r>
          </w:p>
          <w:p w14:paraId="5E19E4B5">
            <w:pPr>
              <w:pStyle w:val="20"/>
              <w:numPr>
                <w:ilvl w:val="0"/>
                <w:numId w:val="1"/>
              </w:numPr>
              <w:tabs>
                <w:tab w:val="left" w:pos="684"/>
              </w:tabs>
              <w:spacing w:before="17"/>
              <w:rPr>
                <w:sz w:val="20"/>
                <w:lang w:eastAsia="zh-CN"/>
              </w:rPr>
            </w:pPr>
            <w:r>
              <w:rPr>
                <w:sz w:val="20"/>
                <w:lang w:eastAsia="zh-CN"/>
              </w:rPr>
              <w:t>Yuan, with a deductible of 0 yuan for personal injury;</w:t>
            </w:r>
          </w:p>
          <w:p w14:paraId="0AF49AA4">
            <w:pPr>
              <w:pStyle w:val="20"/>
              <w:numPr>
                <w:ilvl w:val="0"/>
                <w:numId w:val="1"/>
              </w:numPr>
              <w:tabs>
                <w:tab w:val="left" w:pos="684"/>
              </w:tabs>
              <w:spacing w:before="17"/>
              <w:rPr>
                <w:sz w:val="20"/>
                <w:lang w:eastAsia="zh-CN"/>
              </w:rPr>
            </w:pPr>
            <w:r>
              <w:rPr>
                <w:sz w:val="20"/>
                <w:lang w:eastAsia="zh-CN"/>
              </w:rPr>
              <w:t xml:space="preserve"> Insurance period: from 00:00 on the day of construction to 24:00 on the day of dismantling</w:t>
            </w:r>
          </w:p>
        </w:tc>
      </w:tr>
      <w:tr w14:paraId="51C2A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26" w:type="dxa"/>
          </w:tcPr>
          <w:p w14:paraId="17FF0773">
            <w:pPr>
              <w:pStyle w:val="20"/>
              <w:spacing w:before="16"/>
              <w:ind w:left="276"/>
              <w:rPr>
                <w:sz w:val="20"/>
              </w:rPr>
            </w:pPr>
            <w:r>
              <w:rPr>
                <w:spacing w:val="-6"/>
                <w:sz w:val="20"/>
              </w:rPr>
              <w:t>54</w:t>
            </w:r>
            <w:r>
              <w:rPr>
                <w:spacing w:val="-18"/>
                <w:sz w:val="20"/>
              </w:rPr>
              <w:t xml:space="preserve"> ㎡—</w:t>
            </w:r>
            <w:r>
              <w:rPr>
                <w:spacing w:val="-6"/>
                <w:sz w:val="20"/>
              </w:rPr>
              <w:t>120</w:t>
            </w:r>
            <w:r>
              <w:rPr>
                <w:spacing w:val="-23"/>
                <w:sz w:val="20"/>
              </w:rPr>
              <w:t xml:space="preserve"> ㎡</w:t>
            </w:r>
          </w:p>
        </w:tc>
        <w:tc>
          <w:tcPr>
            <w:tcW w:w="2069" w:type="dxa"/>
          </w:tcPr>
          <w:p w14:paraId="2DCD7250">
            <w:pPr>
              <w:pStyle w:val="20"/>
              <w:spacing w:before="16"/>
              <w:ind w:left="714" w:right="708"/>
              <w:jc w:val="center"/>
              <w:rPr>
                <w:sz w:val="20"/>
              </w:rPr>
            </w:pPr>
            <w:r>
              <w:rPr>
                <w:spacing w:val="-7"/>
                <w:sz w:val="20"/>
              </w:rPr>
              <w:t>300</w:t>
            </w:r>
            <w:r>
              <w:rPr>
                <w:spacing w:val="-30"/>
                <w:sz w:val="20"/>
              </w:rPr>
              <w:t xml:space="preserve"> 元</w:t>
            </w:r>
          </w:p>
        </w:tc>
        <w:tc>
          <w:tcPr>
            <w:tcW w:w="3392" w:type="dxa"/>
            <w:vMerge w:val="continue"/>
            <w:tcBorders>
              <w:top w:val="nil"/>
            </w:tcBorders>
          </w:tcPr>
          <w:p w14:paraId="3DA72EFE">
            <w:pPr>
              <w:autoSpaceDE w:val="0"/>
              <w:autoSpaceDN w:val="0"/>
              <w:rPr>
                <w:sz w:val="2"/>
                <w:szCs w:val="2"/>
                <w:lang w:eastAsia="en-US"/>
              </w:rPr>
            </w:pPr>
          </w:p>
        </w:tc>
      </w:tr>
      <w:tr w14:paraId="7166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26" w:type="dxa"/>
          </w:tcPr>
          <w:p w14:paraId="34AD3161">
            <w:pPr>
              <w:pStyle w:val="20"/>
              <w:spacing w:before="16"/>
              <w:ind w:left="230"/>
              <w:rPr>
                <w:sz w:val="20"/>
              </w:rPr>
            </w:pPr>
            <w:r>
              <w:rPr>
                <w:spacing w:val="-6"/>
                <w:sz w:val="20"/>
              </w:rPr>
              <w:t>121</w:t>
            </w:r>
            <w:r>
              <w:rPr>
                <w:spacing w:val="-19"/>
                <w:sz w:val="20"/>
              </w:rPr>
              <w:t xml:space="preserve"> ㎡—</w:t>
            </w:r>
            <w:r>
              <w:rPr>
                <w:spacing w:val="-6"/>
                <w:sz w:val="20"/>
              </w:rPr>
              <w:t>300</w:t>
            </w:r>
            <w:r>
              <w:rPr>
                <w:spacing w:val="-25"/>
                <w:sz w:val="20"/>
              </w:rPr>
              <w:t xml:space="preserve"> ㎡</w:t>
            </w:r>
          </w:p>
        </w:tc>
        <w:tc>
          <w:tcPr>
            <w:tcW w:w="2069" w:type="dxa"/>
          </w:tcPr>
          <w:p w14:paraId="734C17A6">
            <w:pPr>
              <w:pStyle w:val="20"/>
              <w:spacing w:before="16"/>
              <w:ind w:left="714" w:right="708"/>
              <w:jc w:val="center"/>
              <w:rPr>
                <w:sz w:val="20"/>
              </w:rPr>
            </w:pPr>
            <w:r>
              <w:rPr>
                <w:spacing w:val="-7"/>
                <w:sz w:val="20"/>
              </w:rPr>
              <w:t>400</w:t>
            </w:r>
            <w:r>
              <w:rPr>
                <w:spacing w:val="-30"/>
                <w:sz w:val="20"/>
              </w:rPr>
              <w:t xml:space="preserve"> 元</w:t>
            </w:r>
          </w:p>
        </w:tc>
        <w:tc>
          <w:tcPr>
            <w:tcW w:w="3392" w:type="dxa"/>
            <w:vMerge w:val="continue"/>
            <w:tcBorders>
              <w:top w:val="nil"/>
            </w:tcBorders>
          </w:tcPr>
          <w:p w14:paraId="49342B19">
            <w:pPr>
              <w:autoSpaceDE w:val="0"/>
              <w:autoSpaceDN w:val="0"/>
              <w:rPr>
                <w:sz w:val="2"/>
                <w:szCs w:val="2"/>
                <w:lang w:eastAsia="en-US"/>
              </w:rPr>
            </w:pPr>
          </w:p>
        </w:tc>
      </w:tr>
      <w:tr w14:paraId="034E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26" w:type="dxa"/>
          </w:tcPr>
          <w:p w14:paraId="7987A9E3">
            <w:pPr>
              <w:pStyle w:val="20"/>
              <w:spacing w:before="16"/>
              <w:ind w:left="230"/>
              <w:rPr>
                <w:sz w:val="20"/>
              </w:rPr>
            </w:pPr>
            <w:r>
              <w:rPr>
                <w:spacing w:val="-6"/>
                <w:sz w:val="20"/>
              </w:rPr>
              <w:t>301</w:t>
            </w:r>
            <w:r>
              <w:rPr>
                <w:spacing w:val="-19"/>
                <w:sz w:val="20"/>
              </w:rPr>
              <w:t xml:space="preserve"> ㎡—</w:t>
            </w:r>
            <w:r>
              <w:rPr>
                <w:spacing w:val="-6"/>
                <w:sz w:val="20"/>
              </w:rPr>
              <w:t>500</w:t>
            </w:r>
            <w:r>
              <w:rPr>
                <w:spacing w:val="-25"/>
                <w:sz w:val="20"/>
              </w:rPr>
              <w:t xml:space="preserve"> ㎡</w:t>
            </w:r>
          </w:p>
        </w:tc>
        <w:tc>
          <w:tcPr>
            <w:tcW w:w="2069" w:type="dxa"/>
          </w:tcPr>
          <w:p w14:paraId="648D58BB">
            <w:pPr>
              <w:pStyle w:val="20"/>
              <w:spacing w:before="16"/>
              <w:ind w:left="714" w:right="708"/>
              <w:jc w:val="center"/>
              <w:rPr>
                <w:sz w:val="20"/>
              </w:rPr>
            </w:pPr>
            <w:r>
              <w:rPr>
                <w:spacing w:val="-7"/>
                <w:sz w:val="20"/>
              </w:rPr>
              <w:t>600</w:t>
            </w:r>
            <w:r>
              <w:rPr>
                <w:spacing w:val="-30"/>
                <w:sz w:val="20"/>
              </w:rPr>
              <w:t xml:space="preserve"> 元</w:t>
            </w:r>
          </w:p>
        </w:tc>
        <w:tc>
          <w:tcPr>
            <w:tcW w:w="3392" w:type="dxa"/>
            <w:vMerge w:val="continue"/>
            <w:tcBorders>
              <w:top w:val="nil"/>
            </w:tcBorders>
          </w:tcPr>
          <w:p w14:paraId="1D91F419">
            <w:pPr>
              <w:autoSpaceDE w:val="0"/>
              <w:autoSpaceDN w:val="0"/>
              <w:rPr>
                <w:sz w:val="2"/>
                <w:szCs w:val="2"/>
                <w:lang w:eastAsia="en-US"/>
              </w:rPr>
            </w:pPr>
          </w:p>
        </w:tc>
      </w:tr>
      <w:tr w14:paraId="30DB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26" w:type="dxa"/>
          </w:tcPr>
          <w:p w14:paraId="68568001">
            <w:pPr>
              <w:pStyle w:val="20"/>
              <w:spacing w:before="15"/>
              <w:ind w:left="182"/>
              <w:rPr>
                <w:sz w:val="20"/>
              </w:rPr>
            </w:pPr>
            <w:r>
              <w:rPr>
                <w:spacing w:val="-6"/>
                <w:sz w:val="20"/>
              </w:rPr>
              <w:t>501</w:t>
            </w:r>
            <w:r>
              <w:rPr>
                <w:spacing w:val="-18"/>
                <w:sz w:val="20"/>
              </w:rPr>
              <w:t xml:space="preserve"> ㎡—</w:t>
            </w:r>
            <w:r>
              <w:rPr>
                <w:spacing w:val="-6"/>
                <w:sz w:val="20"/>
              </w:rPr>
              <w:t>1000</w:t>
            </w:r>
            <w:r>
              <w:rPr>
                <w:spacing w:val="-24"/>
                <w:sz w:val="20"/>
              </w:rPr>
              <w:t xml:space="preserve"> ㎡</w:t>
            </w:r>
          </w:p>
        </w:tc>
        <w:tc>
          <w:tcPr>
            <w:tcW w:w="2069" w:type="dxa"/>
          </w:tcPr>
          <w:p w14:paraId="59798F1D">
            <w:pPr>
              <w:pStyle w:val="20"/>
              <w:spacing w:before="15"/>
              <w:ind w:left="714" w:right="705"/>
              <w:jc w:val="center"/>
              <w:rPr>
                <w:sz w:val="20"/>
              </w:rPr>
            </w:pPr>
            <w:r>
              <w:rPr>
                <w:spacing w:val="-7"/>
                <w:sz w:val="20"/>
              </w:rPr>
              <w:t>800</w:t>
            </w:r>
            <w:r>
              <w:rPr>
                <w:spacing w:val="-30"/>
                <w:sz w:val="20"/>
              </w:rPr>
              <w:t xml:space="preserve"> 元</w:t>
            </w:r>
          </w:p>
        </w:tc>
        <w:tc>
          <w:tcPr>
            <w:tcW w:w="3392" w:type="dxa"/>
            <w:vMerge w:val="continue"/>
            <w:tcBorders>
              <w:top w:val="nil"/>
              <w:bottom w:val="nil"/>
            </w:tcBorders>
          </w:tcPr>
          <w:p w14:paraId="277439D5">
            <w:pPr>
              <w:autoSpaceDE w:val="0"/>
              <w:autoSpaceDN w:val="0"/>
              <w:rPr>
                <w:sz w:val="2"/>
                <w:szCs w:val="2"/>
                <w:lang w:eastAsia="en-US"/>
              </w:rPr>
            </w:pPr>
          </w:p>
        </w:tc>
      </w:tr>
      <w:tr w14:paraId="5158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26" w:type="dxa"/>
          </w:tcPr>
          <w:p w14:paraId="255BD4DA">
            <w:pPr>
              <w:pStyle w:val="20"/>
              <w:spacing w:before="15"/>
              <w:ind w:left="182"/>
              <w:rPr>
                <w:spacing w:val="-6"/>
                <w:sz w:val="20"/>
              </w:rPr>
            </w:pPr>
            <w:r>
              <w:rPr>
                <w:rFonts w:hint="eastAsia"/>
                <w:color w:val="000000"/>
              </w:rPr>
              <w:t>≥</w:t>
            </w:r>
            <w:r>
              <w:rPr>
                <w:spacing w:val="-6"/>
                <w:sz w:val="20"/>
              </w:rPr>
              <w:t>1000</w:t>
            </w:r>
            <w:r>
              <w:rPr>
                <w:spacing w:val="-25"/>
                <w:sz w:val="20"/>
              </w:rPr>
              <w:t xml:space="preserve"> ㎡</w:t>
            </w:r>
          </w:p>
        </w:tc>
        <w:tc>
          <w:tcPr>
            <w:tcW w:w="2069" w:type="dxa"/>
          </w:tcPr>
          <w:p w14:paraId="4F01880F">
            <w:pPr>
              <w:pStyle w:val="20"/>
              <w:spacing w:before="15"/>
              <w:ind w:left="714" w:right="705"/>
              <w:jc w:val="center"/>
              <w:rPr>
                <w:spacing w:val="-7"/>
                <w:sz w:val="20"/>
              </w:rPr>
            </w:pPr>
            <w:r>
              <w:rPr>
                <w:spacing w:val="-6"/>
                <w:sz w:val="20"/>
              </w:rPr>
              <w:t>1</w:t>
            </w:r>
            <w:r>
              <w:rPr>
                <w:spacing w:val="-18"/>
                <w:sz w:val="20"/>
              </w:rPr>
              <w:t>元/㎡</w:t>
            </w:r>
          </w:p>
        </w:tc>
        <w:tc>
          <w:tcPr>
            <w:tcW w:w="3392" w:type="dxa"/>
            <w:tcBorders>
              <w:top w:val="nil"/>
            </w:tcBorders>
          </w:tcPr>
          <w:p w14:paraId="08CD91A0">
            <w:pPr>
              <w:autoSpaceDE w:val="0"/>
              <w:autoSpaceDN w:val="0"/>
              <w:rPr>
                <w:sz w:val="2"/>
                <w:szCs w:val="2"/>
                <w:lang w:eastAsia="en-US"/>
              </w:rPr>
            </w:pPr>
          </w:p>
        </w:tc>
      </w:tr>
    </w:tbl>
    <w:p w14:paraId="3D8FEF07">
      <w:pPr>
        <w:tabs>
          <w:tab w:val="left" w:pos="567"/>
        </w:tabs>
        <w:autoSpaceDE w:val="0"/>
        <w:autoSpaceDN w:val="0"/>
        <w:spacing w:before="96" w:after="34"/>
        <w:ind w:left="142"/>
        <w:rPr>
          <w:rFonts w:hint="eastAsia"/>
          <w:b/>
          <w:bCs/>
          <w:spacing w:val="-7"/>
          <w:sz w:val="24"/>
        </w:rPr>
      </w:pPr>
      <w:r>
        <w:rPr>
          <w:b/>
          <w:bCs/>
          <w:spacing w:val="-7"/>
          <w:sz w:val="24"/>
        </w:rPr>
        <w:t>3) Insurance process:</w:t>
      </w:r>
    </w:p>
    <w:p w14:paraId="55D1C166">
      <w:pPr>
        <w:tabs>
          <w:tab w:val="left" w:pos="567"/>
        </w:tabs>
        <w:autoSpaceDE w:val="0"/>
        <w:autoSpaceDN w:val="0"/>
        <w:spacing w:before="96" w:after="34"/>
        <w:ind w:left="142"/>
        <w:rPr>
          <w:b/>
          <w:bCs/>
          <w:spacing w:val="-7"/>
        </w:rPr>
      </w:pPr>
      <w:r>
        <w:rPr>
          <w:b/>
          <w:bCs/>
          <w:spacing w:val="-7"/>
        </w:rPr>
        <w:t xml:space="preserve">1. Computer official website insurance: Log in to </w:t>
      </w:r>
      <w:r>
        <w:rPr>
          <w:b/>
          <w:bCs/>
          <w:spacing w:val="-7"/>
          <w:u w:val="single"/>
        </w:rPr>
        <w:t>www.zhanhuibao.com</w:t>
      </w:r>
      <w:r>
        <w:rPr>
          <w:b/>
          <w:bCs/>
          <w:spacing w:val="-7"/>
        </w:rPr>
        <w:t>, fill in the relevant information as required, click confirm insurance, and pay the premium.</w:t>
      </w:r>
    </w:p>
    <w:p w14:paraId="6AF5486F">
      <w:pPr>
        <w:tabs>
          <w:tab w:val="left" w:pos="567"/>
        </w:tabs>
        <w:autoSpaceDE w:val="0"/>
        <w:autoSpaceDN w:val="0"/>
        <w:spacing w:before="96" w:after="34"/>
        <w:ind w:left="142"/>
        <w:rPr>
          <w:b/>
          <w:bCs/>
          <w:spacing w:val="-7"/>
        </w:rPr>
      </w:pPr>
    </w:p>
    <w:p w14:paraId="17452C74">
      <w:pPr>
        <w:tabs>
          <w:tab w:val="left" w:pos="567"/>
        </w:tabs>
        <w:autoSpaceDE w:val="0"/>
        <w:autoSpaceDN w:val="0"/>
        <w:spacing w:before="96" w:after="34"/>
        <w:ind w:left="142"/>
        <w:rPr>
          <w:rFonts w:hint="eastAsia"/>
          <w:b/>
          <w:bCs/>
          <w:spacing w:val="-7"/>
        </w:rPr>
      </w:pPr>
      <w:r>
        <w:rPr>
          <w:b/>
          <w:bCs/>
          <w:spacing w:val="-7"/>
        </w:rPr>
        <w:t xml:space="preserve">2. Insurance on WeChat official account: </w:t>
      </w:r>
      <w:r>
        <w:rPr>
          <w:rFonts w:hint="eastAsia" w:asciiTheme="minorEastAsia" w:hAnsiTheme="minorEastAsia"/>
          <w:sz w:val="18"/>
          <w:szCs w:val="18"/>
        </w:rPr>
        <w:drawing>
          <wp:inline distT="0" distB="0" distL="0" distR="0">
            <wp:extent cx="889635" cy="8896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894132" cy="894132"/>
                    </a:xfrm>
                    <a:prstGeom prst="rect">
                      <a:avLst/>
                    </a:prstGeom>
                  </pic:spPr>
                </pic:pic>
              </a:graphicData>
            </a:graphic>
          </wp:inline>
        </w:drawing>
      </w:r>
      <w:r>
        <w:rPr>
          <w:b/>
          <w:bCs/>
          <w:spacing w:val="-7"/>
        </w:rPr>
        <w:t>WeChat scans the QR code, follow the official account, click "Order Now" - "Login" - select "The 2</w:t>
      </w:r>
      <w:r>
        <w:rPr>
          <w:rFonts w:hint="eastAsia"/>
          <w:b/>
          <w:bCs/>
          <w:spacing w:val="-7"/>
          <w:lang w:val="en-US" w:eastAsia="zh-CN"/>
        </w:rPr>
        <w:t>6</w:t>
      </w:r>
      <w:r>
        <w:rPr>
          <w:b/>
          <w:bCs/>
          <w:spacing w:val="-7"/>
        </w:rPr>
        <w:t>th China International Petroleum and Petrochemical Technology and Equipment Exhibition", fill in relevant information as required, click "Confirm Insurance", and pay the premium.</w:t>
      </w:r>
      <w:r>
        <w:rPr>
          <w:rFonts w:hint="eastAsia" w:asciiTheme="minorEastAsia" w:hAnsiTheme="minorEastAsia"/>
          <w:sz w:val="18"/>
          <w:szCs w:val="18"/>
        </w:rPr>
        <w:t xml:space="preserve"> </w:t>
      </w:r>
    </w:p>
    <w:p w14:paraId="7CC2D308">
      <w:pPr>
        <w:tabs>
          <w:tab w:val="left" w:pos="567"/>
        </w:tabs>
        <w:autoSpaceDE w:val="0"/>
        <w:autoSpaceDN w:val="0"/>
        <w:spacing w:before="96" w:after="34"/>
        <w:ind w:left="142"/>
        <w:rPr>
          <w:rFonts w:hint="eastAsia"/>
          <w:b/>
          <w:bCs/>
          <w:spacing w:val="-7"/>
          <w:sz w:val="24"/>
        </w:rPr>
      </w:pPr>
      <w:r>
        <w:rPr>
          <w:b/>
          <w:bCs/>
          <w:spacing w:val="-7"/>
          <w:sz w:val="24"/>
        </w:rPr>
        <w:t>4</w:t>
      </w:r>
      <w:r>
        <w:rPr>
          <w:rFonts w:hint="eastAsia"/>
          <w:b/>
          <w:bCs/>
          <w:spacing w:val="-7"/>
          <w:sz w:val="24"/>
        </w:rPr>
        <w:t>）</w:t>
      </w:r>
      <w:r>
        <w:rPr>
          <w:b/>
          <w:bCs/>
          <w:spacing w:val="-7"/>
          <w:sz w:val="24"/>
        </w:rPr>
        <w:t xml:space="preserve"> </w:t>
      </w:r>
      <w:r>
        <w:rPr>
          <w:rFonts w:hint="eastAsia"/>
          <w:b/>
          <w:bCs/>
          <w:spacing w:val="-7"/>
          <w:sz w:val="24"/>
        </w:rPr>
        <w:t>Insurance</w:t>
      </w:r>
      <w:r>
        <w:rPr>
          <w:b/>
          <w:bCs/>
          <w:spacing w:val="-7"/>
          <w:sz w:val="24"/>
        </w:rPr>
        <w:t xml:space="preserve"> company:</w:t>
      </w:r>
    </w:p>
    <w:p w14:paraId="49B74ED3">
      <w:pPr>
        <w:tabs>
          <w:tab w:val="left" w:pos="567"/>
        </w:tabs>
        <w:autoSpaceDE w:val="0"/>
        <w:autoSpaceDN w:val="0"/>
        <w:spacing w:before="96" w:after="34"/>
        <w:ind w:firstLine="197" w:firstLineChars="100"/>
        <w:rPr>
          <w:b/>
          <w:bCs/>
          <w:spacing w:val="-7"/>
        </w:rPr>
      </w:pPr>
      <w:r>
        <w:rPr>
          <w:b/>
          <w:bCs/>
          <w:spacing w:val="-7"/>
        </w:rPr>
        <w:t>China Ping An Property Insurance Co., Ltd</w:t>
      </w:r>
      <w:bookmarkStart w:id="0" w:name="_GoBack"/>
      <w:bookmarkEnd w:id="0"/>
    </w:p>
    <w:p w14:paraId="2917F087">
      <w:pPr>
        <w:tabs>
          <w:tab w:val="left" w:pos="567"/>
        </w:tabs>
        <w:autoSpaceDE w:val="0"/>
        <w:autoSpaceDN w:val="0"/>
        <w:spacing w:before="96" w:after="34"/>
        <w:ind w:left="142"/>
        <w:rPr>
          <w:b/>
          <w:bCs/>
          <w:spacing w:val="-7"/>
          <w:sz w:val="24"/>
        </w:rPr>
      </w:pPr>
      <w:r>
        <w:rPr>
          <w:b/>
          <w:bCs/>
          <w:spacing w:val="-7"/>
          <w:sz w:val="24"/>
        </w:rPr>
        <w:t>5</w:t>
      </w:r>
      <w:r>
        <w:rPr>
          <w:rFonts w:hint="eastAsia"/>
          <w:b/>
          <w:bCs/>
          <w:spacing w:val="-7"/>
          <w:sz w:val="24"/>
        </w:rPr>
        <w:t>）</w:t>
      </w:r>
      <w:r>
        <w:rPr>
          <w:b/>
          <w:bCs/>
          <w:spacing w:val="-7"/>
          <w:sz w:val="24"/>
        </w:rPr>
        <w:t>Insurance service provider and contact person:</w:t>
      </w:r>
    </w:p>
    <w:p w14:paraId="1541DF1A">
      <w:pPr>
        <w:tabs>
          <w:tab w:val="left" w:pos="567"/>
        </w:tabs>
        <w:autoSpaceDE w:val="0"/>
        <w:autoSpaceDN w:val="0"/>
        <w:spacing w:before="96" w:after="34"/>
        <w:ind w:firstLine="295" w:firstLineChars="150"/>
        <w:rPr>
          <w:b/>
          <w:bCs/>
          <w:spacing w:val="-7"/>
          <w:u w:val="single"/>
        </w:rPr>
      </w:pPr>
      <w:r>
        <w:rPr>
          <w:b/>
          <w:bCs/>
          <w:spacing w:val="-7"/>
        </w:rPr>
        <w:t xml:space="preserve">Zhanhuibao - Global Insurance Service Platform    </w:t>
      </w:r>
      <w:r>
        <w:rPr>
          <w:b/>
          <w:bCs/>
          <w:spacing w:val="-7"/>
          <w:u w:val="single"/>
        </w:rPr>
        <w:t xml:space="preserve"> www.zhanhuibao.com</w:t>
      </w:r>
    </w:p>
    <w:p w14:paraId="7CE9906E">
      <w:pPr>
        <w:tabs>
          <w:tab w:val="left" w:pos="567"/>
        </w:tabs>
        <w:autoSpaceDE w:val="0"/>
        <w:autoSpaceDN w:val="0"/>
        <w:spacing w:before="96" w:after="34"/>
        <w:ind w:firstLine="295" w:firstLineChars="150"/>
        <w:rPr>
          <w:b/>
          <w:bCs/>
          <w:spacing w:val="-7"/>
        </w:rPr>
      </w:pPr>
      <w:r>
        <w:rPr>
          <w:b/>
          <w:bCs/>
          <w:spacing w:val="-7"/>
        </w:rPr>
        <w:drawing>
          <wp:anchor distT="0" distB="0" distL="114300" distR="114300" simplePos="0" relativeHeight="251659264" behindDoc="0" locked="0" layoutInCell="1" allowOverlap="1">
            <wp:simplePos x="0" y="0"/>
            <wp:positionH relativeFrom="column">
              <wp:posOffset>4317365</wp:posOffset>
            </wp:positionH>
            <wp:positionV relativeFrom="paragraph">
              <wp:posOffset>138430</wp:posOffset>
            </wp:positionV>
            <wp:extent cx="749935" cy="749935"/>
            <wp:effectExtent l="0" t="0" r="0" b="0"/>
            <wp:wrapSquare wrapText="bothSides"/>
            <wp:docPr id="5562509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50954" name="图片 1"/>
                    <pic:cNvPicPr>
                      <a:picLocks noChangeAspect="1"/>
                    </pic:cNvPicPr>
                  </pic:nvPicPr>
                  <pic:blipFill>
                    <a:blip r:embed="rId5"/>
                    <a:stretch>
                      <a:fillRect/>
                    </a:stretch>
                  </pic:blipFill>
                  <pic:spPr>
                    <a:xfrm>
                      <a:off x="0" y="0"/>
                      <a:ext cx="749935" cy="749935"/>
                    </a:xfrm>
                    <a:prstGeom prst="rect">
                      <a:avLst/>
                    </a:prstGeom>
                  </pic:spPr>
                </pic:pic>
              </a:graphicData>
            </a:graphic>
          </wp:anchor>
        </w:drawing>
      </w:r>
      <w:r>
        <w:rPr>
          <w:b/>
          <w:bCs/>
          <w:spacing w:val="-7"/>
        </w:rPr>
        <w:t>Contact</w:t>
      </w:r>
      <w:r>
        <w:rPr>
          <w:rFonts w:hint="eastAsia"/>
          <w:b/>
          <w:bCs/>
          <w:spacing w:val="-7"/>
        </w:rPr>
        <w:t>or</w:t>
      </w:r>
      <w:r>
        <w:rPr>
          <w:b/>
          <w:bCs/>
          <w:spacing w:val="-7"/>
        </w:rPr>
        <w:t>:</w:t>
      </w:r>
    </w:p>
    <w:p w14:paraId="2756BAEE">
      <w:pPr>
        <w:ind w:firstLine="315" w:firstLineChars="150"/>
      </w:pPr>
      <w:r>
        <w:t xml:space="preserve">Miss </w:t>
      </w:r>
      <w:r>
        <w:rPr>
          <w:rFonts w:hint="eastAsia"/>
        </w:rPr>
        <w:t xml:space="preserve">Yu </w:t>
      </w:r>
      <w:r>
        <w:t xml:space="preserve"> </w:t>
      </w:r>
      <w:r>
        <w:rPr>
          <w:rFonts w:hint="eastAsia"/>
        </w:rPr>
        <w:t xml:space="preserve"> Phone</w:t>
      </w:r>
      <w:r>
        <w:t xml:space="preserve">: </w:t>
      </w:r>
      <w:r>
        <w:rPr>
          <w:rFonts w:hint="eastAsia"/>
        </w:rPr>
        <w:t>+86 18513928829</w:t>
      </w:r>
      <w:r>
        <w:t xml:space="preserve"> </w:t>
      </w:r>
      <w:r>
        <w:rPr>
          <w:rFonts w:hint="eastAsia"/>
        </w:rPr>
        <w:t xml:space="preserve">  </w:t>
      </w:r>
      <w:r>
        <w:t>E-mail: hzbx004@126.com</w:t>
      </w:r>
    </w:p>
    <w:p w14:paraId="454E16C0">
      <w:pPr>
        <w:ind w:firstLine="315" w:firstLineChars="150"/>
      </w:pPr>
      <w:r>
        <w:t xml:space="preserve">Miss </w:t>
      </w:r>
      <w:r>
        <w:rPr>
          <w:rFonts w:hint="eastAsia"/>
        </w:rPr>
        <w:t>Du</w:t>
      </w:r>
      <w:r>
        <w:t xml:space="preserve"> </w:t>
      </w:r>
      <w:r>
        <w:rPr>
          <w:rFonts w:hint="eastAsia"/>
        </w:rPr>
        <w:t xml:space="preserve">  Phone</w:t>
      </w:r>
      <w:r>
        <w:t xml:space="preserve">: </w:t>
      </w:r>
      <w:r>
        <w:rPr>
          <w:rFonts w:hint="eastAsia"/>
        </w:rPr>
        <w:t xml:space="preserve">+86 </w:t>
      </w:r>
      <w:r>
        <w:t xml:space="preserve">18613302639 </w:t>
      </w:r>
      <w:r>
        <w:rPr>
          <w:rFonts w:hint="eastAsia"/>
        </w:rPr>
        <w:t xml:space="preserve">  </w:t>
      </w:r>
      <w:r>
        <w:t>E-mail: hzbx003@126.com</w:t>
      </w:r>
    </w:p>
    <w:p w14:paraId="3534E31F">
      <w:pPr>
        <w:tabs>
          <w:tab w:val="left" w:pos="567"/>
        </w:tabs>
        <w:autoSpaceDE w:val="0"/>
        <w:autoSpaceDN w:val="0"/>
        <w:spacing w:before="96" w:after="34"/>
        <w:ind w:left="142"/>
        <w:rPr>
          <w:b/>
          <w:bCs/>
          <w:spacing w:val="-7"/>
          <w:sz w:val="24"/>
        </w:rPr>
      </w:pPr>
      <w:r>
        <w:rPr>
          <w:b/>
          <w:bCs/>
          <w:spacing w:val="-7"/>
          <w:sz w:val="24"/>
        </w:rPr>
        <w:t>6</w:t>
      </w:r>
      <w:r>
        <w:rPr>
          <w:rFonts w:hint="eastAsia"/>
          <w:b/>
          <w:bCs/>
          <w:spacing w:val="-7"/>
          <w:sz w:val="24"/>
        </w:rPr>
        <w:t>）</w:t>
      </w:r>
      <w:r>
        <w:rPr>
          <w:b/>
          <w:bCs/>
          <w:spacing w:val="-7"/>
          <w:sz w:val="24"/>
        </w:rPr>
        <w:t xml:space="preserve"> </w:t>
      </w:r>
      <w:r>
        <w:rPr>
          <w:rFonts w:hint="eastAsia"/>
          <w:b/>
          <w:bCs/>
          <w:spacing w:val="-7"/>
          <w:sz w:val="24"/>
        </w:rPr>
        <w:t>C</w:t>
      </w:r>
      <w:r>
        <w:rPr>
          <w:b/>
          <w:bCs/>
          <w:spacing w:val="-7"/>
          <w:sz w:val="24"/>
        </w:rPr>
        <w:t>laims service</w:t>
      </w:r>
    </w:p>
    <w:p w14:paraId="48F9F37A">
      <w:pPr>
        <w:pStyle w:val="12"/>
        <w:numPr>
          <w:ilvl w:val="0"/>
          <w:numId w:val="2"/>
        </w:numPr>
        <w:ind w:firstLineChars="0"/>
      </w:pPr>
      <w:r>
        <w:t>If an insurance accident occurs immediately on the scene to take pictures of evidence, and call the scene report phone:</w:t>
      </w:r>
    </w:p>
    <w:p w14:paraId="388D7F1E">
      <w:pPr>
        <w:pStyle w:val="12"/>
        <w:numPr>
          <w:ilvl w:val="0"/>
          <w:numId w:val="2"/>
        </w:numPr>
        <w:ind w:firstLineChars="0"/>
        <w:rPr>
          <w:rFonts w:hint="eastAsia"/>
        </w:rPr>
      </w:pPr>
      <w:r>
        <w:t>M</w:t>
      </w:r>
      <w:r>
        <w:rPr>
          <w:rFonts w:hint="eastAsia"/>
        </w:rPr>
        <w:t>rs</w:t>
      </w:r>
      <w:r>
        <w:t>.</w:t>
      </w:r>
      <w:r>
        <w:rPr>
          <w:rFonts w:hint="eastAsia"/>
        </w:rPr>
        <w:t xml:space="preserve"> Feng：</w:t>
      </w:r>
      <w:r>
        <w:t>+86 18500646969</w:t>
      </w:r>
    </w:p>
    <w:p w14:paraId="27526303">
      <w:pPr>
        <w:pStyle w:val="12"/>
        <w:numPr>
          <w:ilvl w:val="0"/>
          <w:numId w:val="2"/>
        </w:numPr>
        <w:ind w:firstLineChars="0"/>
      </w:pPr>
      <w:r>
        <w:t>Requirements for insurance claims documents:</w:t>
      </w:r>
    </w:p>
    <w:p w14:paraId="1EAD3E03">
      <w:pPr>
        <w:pStyle w:val="12"/>
        <w:numPr>
          <w:ilvl w:val="0"/>
          <w:numId w:val="2"/>
        </w:numPr>
        <w:ind w:firstLineChars="0"/>
      </w:pPr>
      <w:r>
        <w:t xml:space="preserve">1, </w:t>
      </w:r>
      <w:r>
        <w:rPr>
          <w:rFonts w:hint="eastAsia"/>
        </w:rPr>
        <w:t>I</w:t>
      </w:r>
      <w:r>
        <w:t>nsurance notice, need to be stamped with official seal;</w:t>
      </w:r>
    </w:p>
    <w:p w14:paraId="7730BD59">
      <w:pPr>
        <w:pStyle w:val="12"/>
        <w:numPr>
          <w:ilvl w:val="0"/>
          <w:numId w:val="2"/>
        </w:numPr>
        <w:ind w:firstLineChars="0"/>
      </w:pPr>
      <w:r>
        <w:t xml:space="preserve">2, </w:t>
      </w:r>
      <w:r>
        <w:rPr>
          <w:rFonts w:hint="eastAsia"/>
        </w:rPr>
        <w:t>T</w:t>
      </w:r>
      <w:r>
        <w:t>he loss list, need to be stamped with official seal;</w:t>
      </w:r>
    </w:p>
    <w:p w14:paraId="23DCEB61">
      <w:pPr>
        <w:pStyle w:val="12"/>
        <w:numPr>
          <w:ilvl w:val="0"/>
          <w:numId w:val="2"/>
        </w:numPr>
        <w:ind w:firstLineChars="0"/>
      </w:pPr>
      <w:r>
        <w:t xml:space="preserve">3, </w:t>
      </w:r>
      <w:r>
        <w:rPr>
          <w:rFonts w:hint="eastAsia"/>
        </w:rPr>
        <w:t>T</w:t>
      </w:r>
      <w:r>
        <w:t>he insured person accident description or damage to the accident handling report, need to be stamped with official seal;</w:t>
      </w:r>
    </w:p>
    <w:p w14:paraId="6D3EBF3A">
      <w:pPr>
        <w:pStyle w:val="12"/>
        <w:numPr>
          <w:ilvl w:val="0"/>
          <w:numId w:val="2"/>
        </w:numPr>
        <w:ind w:firstLineChars="0"/>
      </w:pPr>
      <w:r>
        <w:t xml:space="preserve">4, </w:t>
      </w:r>
      <w:r>
        <w:rPr>
          <w:rFonts w:hint="eastAsia"/>
        </w:rPr>
        <w:t>T</w:t>
      </w:r>
      <w:r>
        <w:t>he scene of the accident photos;</w:t>
      </w:r>
    </w:p>
    <w:p w14:paraId="1B3B0FDB">
      <w:pPr>
        <w:pStyle w:val="12"/>
        <w:numPr>
          <w:ilvl w:val="0"/>
          <w:numId w:val="2"/>
        </w:numPr>
        <w:ind w:firstLineChars="0"/>
      </w:pPr>
      <w:r>
        <w:t xml:space="preserve">5, </w:t>
      </w:r>
      <w:r>
        <w:rPr>
          <w:rFonts w:hint="eastAsia"/>
        </w:rPr>
        <w:t>T</w:t>
      </w:r>
      <w:r>
        <w:t>he insured business license copy;</w:t>
      </w:r>
    </w:p>
    <w:p w14:paraId="43DBFABB">
      <w:pPr>
        <w:pStyle w:val="12"/>
        <w:numPr>
          <w:ilvl w:val="0"/>
          <w:numId w:val="2"/>
        </w:numPr>
        <w:ind w:firstLineChars="0"/>
      </w:pPr>
      <w:r>
        <w:t xml:space="preserve">6, </w:t>
      </w:r>
      <w:r>
        <w:rPr>
          <w:rFonts w:hint="eastAsia"/>
        </w:rPr>
        <w:t>P</w:t>
      </w:r>
      <w:r>
        <w:t>ayment vouchers;</w:t>
      </w:r>
    </w:p>
    <w:p w14:paraId="692EBE49">
      <w:pPr>
        <w:pStyle w:val="12"/>
        <w:numPr>
          <w:ilvl w:val="0"/>
          <w:numId w:val="2"/>
        </w:numPr>
        <w:ind w:firstLineChars="0"/>
      </w:pPr>
      <w:r>
        <w:t xml:space="preserve">7, </w:t>
      </w:r>
      <w:r>
        <w:rPr>
          <w:rFonts w:hint="eastAsia"/>
        </w:rPr>
        <w:t>R</w:t>
      </w:r>
      <w:r>
        <w:t>epair or purchase invoice original;</w:t>
      </w:r>
    </w:p>
    <w:p w14:paraId="4146D501">
      <w:pPr>
        <w:pStyle w:val="12"/>
        <w:numPr>
          <w:ilvl w:val="0"/>
          <w:numId w:val="2"/>
        </w:numPr>
        <w:ind w:firstLineChars="0"/>
      </w:pPr>
      <w:r>
        <w:t xml:space="preserve">8, </w:t>
      </w:r>
      <w:r>
        <w:rPr>
          <w:rFonts w:hint="eastAsia"/>
        </w:rPr>
        <w:t>T</w:t>
      </w:r>
      <w:r>
        <w:t>he insured and the venue provider (exhibition center) rental contract copy;</w:t>
      </w:r>
    </w:p>
    <w:p w14:paraId="07166833">
      <w:pPr>
        <w:pStyle w:val="12"/>
        <w:numPr>
          <w:ilvl w:val="0"/>
          <w:numId w:val="2"/>
        </w:numPr>
        <w:ind w:firstLineChars="0"/>
        <w:rPr>
          <w:rFonts w:hint="eastAsia"/>
        </w:rPr>
      </w:pPr>
      <w:r>
        <w:t xml:space="preserve">9, </w:t>
      </w:r>
      <w:r>
        <w:rPr>
          <w:rFonts w:hint="eastAsia"/>
        </w:rPr>
        <w:t>T</w:t>
      </w:r>
      <w:r>
        <w:t>he other documents required by the insurer.</w:t>
      </w:r>
    </w:p>
    <w:p w14:paraId="25F5F76C">
      <w:pPr>
        <w:spacing w:line="360" w:lineRule="auto"/>
        <w:ind w:left="360"/>
        <w:jc w:val="left"/>
        <w:rPr>
          <w:rFonts w:ascii="Helvetica Neue" w:hAnsi="Helvetica Neue" w:cs="Helvetica Neue"/>
          <w:kern w:val="0"/>
          <w:sz w:val="18"/>
          <w:szCs w:val="18"/>
        </w:rPr>
      </w:pPr>
      <w:r>
        <w:rPr>
          <w:rFonts w:ascii="Helvetica Neue" w:hAnsi="Helvetica Neue" w:cs="Helvetica Neue"/>
          <w:b/>
          <w:bCs/>
          <w:kern w:val="0"/>
          <w:szCs w:val="21"/>
        </w:rPr>
        <w:t>Special reminder:</w:t>
      </w:r>
      <w:r>
        <w:rPr>
          <w:rFonts w:ascii="Helvetica Neue" w:hAnsi="Helvetica Neue" w:cs="Helvetica Neue"/>
          <w:b/>
          <w:bCs/>
          <w:kern w:val="0"/>
          <w:sz w:val="18"/>
          <w:szCs w:val="18"/>
        </w:rPr>
        <w:t xml:space="preserve"> </w:t>
      </w:r>
      <w:r>
        <w:rPr>
          <w:rFonts w:ascii="Helvetica Neue" w:hAnsi="Helvetica Neue" w:cs="Helvetica Neue"/>
          <w:kern w:val="0"/>
          <w:sz w:val="18"/>
          <w:szCs w:val="18"/>
        </w:rPr>
        <w:t>One booth requires one insurance policy for each builder, and cannot be purchased separately. Builders must purchase insurance according to the required coverage amount. After the completion of the exhibition liability insurance for the vacant special booth (i.e. after receiving the policy certificate or policy issued by Zhanhui Insurance), the main venue service provider can issue the construction permit processing certificate to the builder.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Noto Sans SC Thin"/>
    <w:panose1 w:val="02000000000000000000"/>
    <w:charset w:val="80"/>
    <w:family w:val="auto"/>
    <w:pitch w:val="default"/>
    <w:sig w:usb0="00000000" w:usb1="00000000" w:usb2="00000010" w:usb3="00000000" w:csb0="003E0001"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10" w:usb3="00000000" w:csb0="00000001" w:csb1="00000000"/>
  </w:font>
  <w:font w:name="Noto Sans SC Thin">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20902"/>
    <w:multiLevelType w:val="multilevel"/>
    <w:tmpl w:val="15B20902"/>
    <w:lvl w:ilvl="0" w:tentative="0">
      <w:start w:val="1"/>
      <w:numFmt w:val="decimal"/>
      <w:lvlText w:val="%1)"/>
      <w:lvlJc w:val="left"/>
      <w:pPr>
        <w:ind w:left="1336" w:hanging="420"/>
      </w:pPr>
      <w:rPr>
        <w:rFonts w:hint="default"/>
        <w:spacing w:val="-2"/>
        <w:w w:val="99"/>
        <w:lang w:val="en-US" w:eastAsia="en-US" w:bidi="ar-SA"/>
      </w:rPr>
    </w:lvl>
    <w:lvl w:ilvl="1" w:tentative="0">
      <w:start w:val="1"/>
      <w:numFmt w:val="lowerLetter"/>
      <w:lvlText w:val="%2."/>
      <w:lvlJc w:val="left"/>
      <w:pPr>
        <w:ind w:left="1141" w:hanging="226"/>
      </w:pPr>
      <w:rPr>
        <w:rFonts w:hint="default" w:ascii="宋体" w:hAnsi="宋体" w:eastAsia="宋体" w:cs="宋体"/>
        <w:b w:val="0"/>
        <w:bCs w:val="0"/>
        <w:i w:val="0"/>
        <w:iCs w:val="0"/>
        <w:spacing w:val="-1"/>
        <w:w w:val="43"/>
        <w:sz w:val="21"/>
        <w:szCs w:val="21"/>
        <w:lang w:val="en-US" w:eastAsia="en-US" w:bidi="ar-SA"/>
      </w:rPr>
    </w:lvl>
    <w:lvl w:ilvl="2" w:tentative="0">
      <w:start w:val="0"/>
      <w:numFmt w:val="bullet"/>
      <w:lvlText w:val="•"/>
      <w:lvlJc w:val="left"/>
      <w:pPr>
        <w:ind w:left="2402" w:hanging="226"/>
      </w:pPr>
      <w:rPr>
        <w:rFonts w:hint="default"/>
        <w:lang w:val="en-US" w:eastAsia="en-US" w:bidi="ar-SA"/>
      </w:rPr>
    </w:lvl>
    <w:lvl w:ilvl="3" w:tentative="0">
      <w:start w:val="0"/>
      <w:numFmt w:val="bullet"/>
      <w:lvlText w:val="•"/>
      <w:lvlJc w:val="left"/>
      <w:pPr>
        <w:ind w:left="3465" w:hanging="226"/>
      </w:pPr>
      <w:rPr>
        <w:rFonts w:hint="default"/>
        <w:lang w:val="en-US" w:eastAsia="en-US" w:bidi="ar-SA"/>
      </w:rPr>
    </w:lvl>
    <w:lvl w:ilvl="4" w:tentative="0">
      <w:start w:val="0"/>
      <w:numFmt w:val="bullet"/>
      <w:lvlText w:val="•"/>
      <w:lvlJc w:val="left"/>
      <w:pPr>
        <w:ind w:left="4528" w:hanging="226"/>
      </w:pPr>
      <w:rPr>
        <w:rFonts w:hint="default"/>
        <w:lang w:val="en-US" w:eastAsia="en-US" w:bidi="ar-SA"/>
      </w:rPr>
    </w:lvl>
    <w:lvl w:ilvl="5" w:tentative="0">
      <w:start w:val="0"/>
      <w:numFmt w:val="bullet"/>
      <w:lvlText w:val="•"/>
      <w:lvlJc w:val="left"/>
      <w:pPr>
        <w:ind w:left="5591" w:hanging="226"/>
      </w:pPr>
      <w:rPr>
        <w:rFonts w:hint="default"/>
        <w:lang w:val="en-US" w:eastAsia="en-US" w:bidi="ar-SA"/>
      </w:rPr>
    </w:lvl>
    <w:lvl w:ilvl="6" w:tentative="0">
      <w:start w:val="0"/>
      <w:numFmt w:val="bullet"/>
      <w:lvlText w:val="•"/>
      <w:lvlJc w:val="left"/>
      <w:pPr>
        <w:ind w:left="6654" w:hanging="226"/>
      </w:pPr>
      <w:rPr>
        <w:rFonts w:hint="default"/>
        <w:lang w:val="en-US" w:eastAsia="en-US" w:bidi="ar-SA"/>
      </w:rPr>
    </w:lvl>
    <w:lvl w:ilvl="7" w:tentative="0">
      <w:start w:val="0"/>
      <w:numFmt w:val="bullet"/>
      <w:lvlText w:val="•"/>
      <w:lvlJc w:val="left"/>
      <w:pPr>
        <w:ind w:left="7717" w:hanging="226"/>
      </w:pPr>
      <w:rPr>
        <w:rFonts w:hint="default"/>
        <w:lang w:val="en-US" w:eastAsia="en-US" w:bidi="ar-SA"/>
      </w:rPr>
    </w:lvl>
    <w:lvl w:ilvl="8" w:tentative="0">
      <w:start w:val="0"/>
      <w:numFmt w:val="bullet"/>
      <w:lvlText w:val="•"/>
      <w:lvlJc w:val="left"/>
      <w:pPr>
        <w:ind w:left="8780" w:hanging="226"/>
      </w:pPr>
      <w:rPr>
        <w:rFonts w:hint="default"/>
        <w:lang w:val="en-US" w:eastAsia="en-US" w:bidi="ar-SA"/>
      </w:rPr>
    </w:lvl>
  </w:abstractNum>
  <w:abstractNum w:abstractNumId="1">
    <w:nsid w:val="370D32AA"/>
    <w:multiLevelType w:val="multilevel"/>
    <w:tmpl w:val="370D32AA"/>
    <w:lvl w:ilvl="0" w:tentative="0">
      <w:start w:val="1"/>
      <w:numFmt w:val="decimal"/>
      <w:lvlText w:val="%1."/>
      <w:lvlJc w:val="left"/>
      <w:pPr>
        <w:ind w:left="683" w:hanging="294"/>
      </w:pPr>
      <w:rPr>
        <w:rFonts w:hint="default" w:ascii="宋体" w:hAnsi="宋体" w:eastAsia="宋体" w:cs="宋体"/>
        <w:b w:val="0"/>
        <w:bCs w:val="0"/>
        <w:i w:val="0"/>
        <w:iCs w:val="0"/>
        <w:w w:val="93"/>
        <w:sz w:val="18"/>
        <w:szCs w:val="18"/>
        <w:lang w:val="en-US" w:eastAsia="en-US" w:bidi="ar-SA"/>
      </w:rPr>
    </w:lvl>
    <w:lvl w:ilvl="1" w:tentative="0">
      <w:start w:val="0"/>
      <w:numFmt w:val="bullet"/>
      <w:lvlText w:val="•"/>
      <w:lvlJc w:val="left"/>
      <w:pPr>
        <w:ind w:left="1056" w:hanging="294"/>
      </w:pPr>
      <w:rPr>
        <w:rFonts w:hint="default"/>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1808" w:hanging="294"/>
      </w:pPr>
      <w:rPr>
        <w:rFonts w:hint="default"/>
        <w:lang w:val="en-US" w:eastAsia="en-US" w:bidi="ar-SA"/>
      </w:rPr>
    </w:lvl>
    <w:lvl w:ilvl="4" w:tentative="0">
      <w:start w:val="0"/>
      <w:numFmt w:val="bullet"/>
      <w:lvlText w:val="•"/>
      <w:lvlJc w:val="left"/>
      <w:pPr>
        <w:ind w:left="2185" w:hanging="294"/>
      </w:pPr>
      <w:rPr>
        <w:rFonts w:hint="default"/>
        <w:lang w:val="en-US" w:eastAsia="en-US" w:bidi="ar-SA"/>
      </w:rPr>
    </w:lvl>
    <w:lvl w:ilvl="5" w:tentative="0">
      <w:start w:val="0"/>
      <w:numFmt w:val="bullet"/>
      <w:lvlText w:val="•"/>
      <w:lvlJc w:val="left"/>
      <w:pPr>
        <w:ind w:left="2561" w:hanging="294"/>
      </w:pPr>
      <w:rPr>
        <w:rFonts w:hint="default"/>
        <w:lang w:val="en-US" w:eastAsia="en-US" w:bidi="ar-SA"/>
      </w:rPr>
    </w:lvl>
    <w:lvl w:ilvl="6" w:tentative="0">
      <w:start w:val="0"/>
      <w:numFmt w:val="bullet"/>
      <w:lvlText w:val="•"/>
      <w:lvlJc w:val="left"/>
      <w:pPr>
        <w:ind w:left="2937" w:hanging="294"/>
      </w:pPr>
      <w:rPr>
        <w:rFonts w:hint="default"/>
        <w:lang w:val="en-US" w:eastAsia="en-US" w:bidi="ar-SA"/>
      </w:rPr>
    </w:lvl>
    <w:lvl w:ilvl="7" w:tentative="0">
      <w:start w:val="0"/>
      <w:numFmt w:val="bullet"/>
      <w:lvlText w:val="•"/>
      <w:lvlJc w:val="left"/>
      <w:pPr>
        <w:ind w:left="3314" w:hanging="294"/>
      </w:pPr>
      <w:rPr>
        <w:rFonts w:hint="default"/>
        <w:lang w:val="en-US" w:eastAsia="en-US" w:bidi="ar-SA"/>
      </w:rPr>
    </w:lvl>
    <w:lvl w:ilvl="8" w:tentative="0">
      <w:start w:val="0"/>
      <w:numFmt w:val="bullet"/>
      <w:lvlText w:val="•"/>
      <w:lvlJc w:val="left"/>
      <w:pPr>
        <w:ind w:left="3690" w:hanging="29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jYmRlNmY1ZDUxODk0ZmE5YTcyYmFmNzBiYzA4Y2YifQ=="/>
  </w:docVars>
  <w:rsids>
    <w:rsidRoot w:val="7F704A64"/>
    <w:rsid w:val="00012750"/>
    <w:rsid w:val="00077BA2"/>
    <w:rsid w:val="000D3843"/>
    <w:rsid w:val="001F5966"/>
    <w:rsid w:val="00244D8D"/>
    <w:rsid w:val="002C7A1C"/>
    <w:rsid w:val="00347D23"/>
    <w:rsid w:val="00362B14"/>
    <w:rsid w:val="00470674"/>
    <w:rsid w:val="005450C6"/>
    <w:rsid w:val="005A6CFD"/>
    <w:rsid w:val="00617137"/>
    <w:rsid w:val="00630795"/>
    <w:rsid w:val="0063576B"/>
    <w:rsid w:val="0065707B"/>
    <w:rsid w:val="00752500"/>
    <w:rsid w:val="007A4D3D"/>
    <w:rsid w:val="007F5D00"/>
    <w:rsid w:val="008710B3"/>
    <w:rsid w:val="00A343E0"/>
    <w:rsid w:val="00B2796D"/>
    <w:rsid w:val="00B57D2B"/>
    <w:rsid w:val="00B95E4D"/>
    <w:rsid w:val="00C935A7"/>
    <w:rsid w:val="55BE76D2"/>
    <w:rsid w:val="7F704A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1"/>
    <w:pPr>
      <w:autoSpaceDE w:val="0"/>
      <w:autoSpaceDN w:val="0"/>
      <w:jc w:val="left"/>
    </w:pPr>
    <w:rPr>
      <w:rFonts w:ascii="宋体" w:hAnsi="宋体" w:eastAsia="宋体" w:cs="宋体"/>
      <w:kern w:val="0"/>
      <w:szCs w:val="21"/>
      <w:lang w:eastAsia="en-US"/>
    </w:rPr>
  </w:style>
  <w:style w:type="paragraph" w:styleId="4">
    <w:name w:val="Balloon Text"/>
    <w:basedOn w:val="1"/>
    <w:link w:val="15"/>
    <w:uiPriority w:val="0"/>
    <w:rPr>
      <w:rFonts w:ascii="Heiti SC Light" w:eastAsia="Heiti SC Light"/>
      <w:sz w:val="18"/>
      <w:szCs w:val="18"/>
    </w:rPr>
  </w:style>
  <w:style w:type="paragraph" w:styleId="5">
    <w:name w:val="footer"/>
    <w:basedOn w:val="1"/>
    <w:link w:val="17"/>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1"/>
    <w:qFormat/>
    <w:uiPriority w:val="10"/>
    <w:pPr>
      <w:autoSpaceDE w:val="0"/>
      <w:autoSpaceDN w:val="0"/>
      <w:spacing w:after="80"/>
      <w:contextualSpacing/>
      <w:jc w:val="center"/>
    </w:pPr>
    <w:rPr>
      <w:rFonts w:asciiTheme="majorHAnsi" w:hAnsiTheme="majorHAnsi" w:eastAsiaTheme="majorEastAsia" w:cstheme="majorBidi"/>
      <w:spacing w:val="-10"/>
      <w:kern w:val="28"/>
      <w:sz w:val="56"/>
      <w:szCs w:val="56"/>
      <w:lang w:eastAsia="en-US"/>
    </w:rPr>
  </w:style>
  <w:style w:type="character" w:styleId="10">
    <w:name w:val="Strong"/>
    <w:basedOn w:val="9"/>
    <w:qFormat/>
    <w:uiPriority w:val="22"/>
    <w:rPr>
      <w:b/>
      <w:bCs/>
    </w:rPr>
  </w:style>
  <w:style w:type="character" w:styleId="11">
    <w:name w:val="Hyperlink"/>
    <w:unhideWhenUsed/>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font1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批注框文本 字符"/>
    <w:basedOn w:val="9"/>
    <w:link w:val="4"/>
    <w:uiPriority w:val="0"/>
    <w:rPr>
      <w:rFonts w:ascii="Heiti SC Light" w:eastAsia="Heiti SC Light" w:hAnsiTheme="minorHAnsi" w:cstheme="minorBidi"/>
      <w:kern w:val="2"/>
      <w:sz w:val="18"/>
      <w:szCs w:val="18"/>
    </w:rPr>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字符"/>
    <w:basedOn w:val="9"/>
    <w:link w:val="5"/>
    <w:qFormat/>
    <w:uiPriority w:val="99"/>
    <w:rPr>
      <w:rFonts w:ascii="Calibri" w:hAnsi="Calibri"/>
      <w:kern w:val="2"/>
      <w:sz w:val="18"/>
      <w:szCs w:val="18"/>
    </w:rPr>
  </w:style>
  <w:style w:type="character" w:customStyle="1" w:styleId="18">
    <w:name w:val="正文文本 字符"/>
    <w:basedOn w:val="9"/>
    <w:link w:val="3"/>
    <w:uiPriority w:val="1"/>
    <w:rPr>
      <w:rFonts w:ascii="宋体" w:hAnsi="宋体" w:cs="宋体"/>
      <w:sz w:val="21"/>
      <w:szCs w:val="21"/>
      <w:lang w:eastAsia="en-US"/>
    </w:rPr>
  </w:style>
  <w:style w:type="table" w:customStyle="1" w:styleId="1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0">
    <w:name w:val="Table Paragraph"/>
    <w:basedOn w:val="1"/>
    <w:qFormat/>
    <w:uiPriority w:val="1"/>
    <w:pPr>
      <w:autoSpaceDE w:val="0"/>
      <w:autoSpaceDN w:val="0"/>
      <w:jc w:val="left"/>
    </w:pPr>
    <w:rPr>
      <w:rFonts w:ascii="宋体" w:hAnsi="宋体" w:eastAsia="宋体" w:cs="宋体"/>
      <w:kern w:val="0"/>
      <w:sz w:val="22"/>
      <w:szCs w:val="22"/>
      <w:lang w:eastAsia="en-US"/>
    </w:rPr>
  </w:style>
  <w:style w:type="character" w:customStyle="1" w:styleId="21">
    <w:name w:val="标题 字符"/>
    <w:basedOn w:val="9"/>
    <w:link w:val="7"/>
    <w:uiPriority w:val="10"/>
    <w:rPr>
      <w:rFonts w:asciiTheme="majorHAnsi" w:hAnsiTheme="majorHAnsi" w:eastAsiaTheme="majorEastAsia" w:cstheme="majorBidi"/>
      <w:spacing w:val="-10"/>
      <w:kern w:val="28"/>
      <w:sz w:val="56"/>
      <w:szCs w:val="56"/>
      <w:lang w:eastAsia="en-US"/>
    </w:rPr>
  </w:style>
  <w:style w:type="character" w:customStyle="1" w:styleId="22">
    <w:name w:val="标题 2 字符"/>
    <w:basedOn w:val="9"/>
    <w:link w:val="2"/>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anzhan</Company>
  <Pages>2</Pages>
  <Words>461</Words>
  <Characters>2449</Characters>
  <Lines>26</Lines>
  <Paragraphs>7</Paragraphs>
  <TotalTime>9</TotalTime>
  <ScaleCrop>false</ScaleCrop>
  <LinksUpToDate>false</LinksUpToDate>
  <CharactersWithSpaces>2832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2024-12-20T04:03:00Z</dcterms:created>
  <dc:creator>展慧保-专员</dc:creator>
  <cp:lastModifiedBy>展慧保-展会保险服务商</cp:lastModifiedBy>
  <dcterms:modified xsi:type="dcterms:W3CDTF">2025-12-09T07:16:06Z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1F7836D1233548C6B2882D88B45B3062_13</vt:lpwstr>
  </property>
  <property fmtid="{D5CDD505-2E9C-101B-9397-08002B2CF9AE}" pid="4" name="KSOTemplateDocerSaveRecord">
    <vt:lpwstr>eyJoZGlkIjoiNDMyNDg5OWM3NjVhODk2Mjg3ZTQxMzQxMzUzNmIyNGMiLCJ1c2VySWQiOiI1Njg4NzMwMDEifQ==</vt:lpwstr>
  </property>
</Properties>
</file>