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3360" behindDoc="0" locked="0" layoutInCell="1" allowOverlap="0">
            <wp:simplePos x="0" y="0"/>
            <wp:positionH relativeFrom="column">
              <wp:posOffset>5436235</wp:posOffset>
            </wp:positionH>
            <wp:positionV relativeFrom="paragraph">
              <wp:posOffset>-647700</wp:posOffset>
            </wp:positionV>
            <wp:extent cx="685800" cy="567690"/>
            <wp:effectExtent l="0" t="0" r="0" b="3810"/>
            <wp:wrapNone/>
            <wp:docPr id="11"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pPr>
                              <w:spacing w:line="360" w:lineRule="auto"/>
                            </w:pPr>
                            <w:r>
                              <w:rPr>
                                <w:rFonts w:ascii="Arial" w:hAnsi="Arial" w:cs="Arial"/>
                                <w:b/>
                                <w:bCs/>
                                <w:sz w:val="24"/>
                              </w:rPr>
                              <w:t>To</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60288;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pPr>
                        <w:spacing w:line="360" w:lineRule="auto"/>
                      </w:pPr>
                      <w:r>
                        <w:rPr>
                          <w:rFonts w:ascii="Arial" w:hAnsi="Arial" w:cs="Arial"/>
                          <w:b/>
                          <w:bCs/>
                          <w:sz w:val="24"/>
                        </w:rPr>
                        <w:t>To</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 xml:space="preserve">： </w:t>
                      </w:r>
                    </w:p>
                  </w:txbxContent>
                </v:textbox>
              </v:shape>
            </w:pict>
          </mc:Fallback>
        </mc:AlternateContent>
      </w:r>
    </w:p>
    <w:p>
      <w:pPr>
        <w:spacing w:line="240" w:lineRule="atLeast"/>
        <w:rPr>
          <w:rFonts w:ascii="Arial" w:hAnsi="Arial" w:cs="Arial"/>
          <w:sz w:val="28"/>
        </w:rPr>
      </w:pPr>
    </w:p>
    <w:p>
      <w:pPr>
        <w:spacing w:line="360" w:lineRule="auto"/>
        <w:jc w:val="center"/>
        <w:rPr>
          <w:rFonts w:ascii="宋体" w:hAnsi="宋体" w:cs="宋体"/>
          <w:sz w:val="24"/>
        </w:rPr>
      </w:pPr>
    </w:p>
    <w:p>
      <w:pPr>
        <w:spacing w:line="360" w:lineRule="auto"/>
        <w:jc w:val="center"/>
        <w:rPr>
          <w:rFonts w:ascii="Arial" w:hAnsi="Arial" w:cs="Arial"/>
        </w:rPr>
      </w:pPr>
      <w:r>
        <w:rPr>
          <w:rFonts w:ascii="宋体" w:hAnsi="宋体" w:cs="宋体"/>
          <w:sz w:val="24"/>
        </w:rPr>
        <w:drawing>
          <wp:inline distT="0" distB="0" distL="114300" distR="114300">
            <wp:extent cx="3343910" cy="967105"/>
            <wp:effectExtent l="0" t="0" r="889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3343910" cy="967105"/>
                    </a:xfrm>
                    <a:prstGeom prst="rect">
                      <a:avLst/>
                    </a:prstGeom>
                    <a:noFill/>
                    <a:ln w="9525">
                      <a:noFill/>
                    </a:ln>
                  </pic:spPr>
                </pic:pic>
              </a:graphicData>
            </a:graphic>
          </wp:inline>
        </w:drawing>
      </w:r>
    </w:p>
    <w:p>
      <w:pPr>
        <w:spacing w:line="200" w:lineRule="exact"/>
        <w:rPr>
          <w:rFonts w:ascii="Arial" w:hAnsi="Arial" w:cs="Arial"/>
        </w:rPr>
      </w:pPr>
    </w:p>
    <w:p>
      <w:pPr>
        <w:pStyle w:val="4"/>
        <w:spacing w:line="360" w:lineRule="auto"/>
        <w:ind w:firstLine="0"/>
        <w:jc w:val="center"/>
        <w:rPr>
          <w:rFonts w:ascii="黑体" w:hAnsi="宋体" w:eastAsia="黑体" w:cs="Arial"/>
          <w:b/>
          <w:bCs/>
          <w:spacing w:val="20"/>
          <w:sz w:val="40"/>
          <w:szCs w:val="40"/>
        </w:rPr>
      </w:pPr>
      <w:r>
        <w:rPr>
          <w:rFonts w:hint="eastAsia" w:ascii="黑体" w:hAnsi="宋体" w:eastAsia="黑体" w:cs="Arial"/>
          <w:b/>
          <w:bCs/>
          <w:spacing w:val="20"/>
          <w:sz w:val="40"/>
          <w:szCs w:val="40"/>
        </w:rPr>
        <w:t>202</w:t>
      </w:r>
      <w:r>
        <w:rPr>
          <w:rFonts w:hint="eastAsia" w:ascii="黑体" w:hAnsi="宋体" w:eastAsia="黑体" w:cs="Arial"/>
          <w:b/>
          <w:bCs/>
          <w:spacing w:val="20"/>
          <w:sz w:val="40"/>
          <w:szCs w:val="40"/>
          <w:lang w:val="en-US" w:eastAsia="zh-CN"/>
        </w:rPr>
        <w:t>4</w:t>
      </w:r>
      <w:r>
        <w:rPr>
          <w:rFonts w:hint="eastAsia" w:ascii="黑体" w:hAnsi="宋体" w:eastAsia="黑体" w:cs="Arial"/>
          <w:b/>
          <w:bCs/>
          <w:spacing w:val="20"/>
          <w:sz w:val="40"/>
          <w:szCs w:val="40"/>
        </w:rPr>
        <w:t>成都国际石油石化技术装备展览会</w:t>
      </w:r>
    </w:p>
    <w:p>
      <w:pPr>
        <w:pStyle w:val="4"/>
        <w:spacing w:line="360" w:lineRule="auto"/>
        <w:ind w:firstLine="0"/>
        <w:jc w:val="center"/>
        <w:rPr>
          <w:rFonts w:ascii="Arial" w:hAnsi="Arial" w:eastAsia="宋体" w:cs="Arial"/>
        </w:rPr>
      </w:pPr>
      <w:r>
        <w:rPr>
          <w:rFonts w:hint="eastAsia" w:ascii="Arial" w:hAnsi="Arial" w:eastAsia="宋体" w:cs="Arial"/>
        </w:rPr>
        <w:t>202</w:t>
      </w:r>
      <w:r>
        <w:rPr>
          <w:rFonts w:hint="eastAsia" w:ascii="Arial" w:hAnsi="Arial" w:eastAsia="宋体" w:cs="Arial"/>
          <w:lang w:val="en-US" w:eastAsia="zh-CN"/>
        </w:rPr>
        <w:t xml:space="preserve">4 </w:t>
      </w:r>
      <w:r>
        <w:rPr>
          <w:rFonts w:hint="eastAsia" w:ascii="Arial" w:hAnsi="Arial" w:eastAsia="宋体" w:cs="Arial"/>
        </w:rPr>
        <w:t>Chengdu</w:t>
      </w:r>
      <w:r>
        <w:rPr>
          <w:rFonts w:hint="eastAsia" w:ascii="Arial" w:hAnsi="Arial" w:eastAsia="宋体" w:cs="Arial"/>
          <w:lang w:val="en-US" w:eastAsia="zh-CN"/>
        </w:rPr>
        <w:t xml:space="preserve"> </w:t>
      </w:r>
      <w:r>
        <w:rPr>
          <w:rFonts w:hint="eastAsia" w:ascii="Arial" w:hAnsi="Arial" w:eastAsia="宋体" w:cs="Arial"/>
        </w:rPr>
        <w:t>International Petroleum &amp; Petrochemical Technology and Equipment Exhibition</w:t>
      </w:r>
    </w:p>
    <w:p>
      <w:pPr>
        <w:spacing w:line="320" w:lineRule="exact"/>
        <w:jc w:val="center"/>
        <w:rPr>
          <w:b/>
          <w:bCs/>
          <w:sz w:val="28"/>
          <w:szCs w:val="36"/>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1312;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pPr>
        <w:ind w:firstLine="1124" w:firstLineChars="400"/>
        <w:rPr>
          <w:b/>
          <w:bCs/>
          <w:sz w:val="28"/>
          <w:szCs w:val="36"/>
        </w:rPr>
      </w:pPr>
      <w:r>
        <w:rPr>
          <w:b/>
          <w:bCs/>
          <w:sz w:val="28"/>
          <w:szCs w:val="36"/>
        </w:rPr>
        <w:t>202</w:t>
      </w:r>
      <w:r>
        <w:rPr>
          <w:rFonts w:hint="eastAsia"/>
          <w:b/>
          <w:bCs/>
          <w:sz w:val="28"/>
          <w:szCs w:val="36"/>
          <w:lang w:val="en-US" w:eastAsia="zh-CN"/>
        </w:rPr>
        <w:t>4</w:t>
      </w:r>
      <w:r>
        <w:rPr>
          <w:b/>
          <w:bCs/>
          <w:sz w:val="28"/>
          <w:szCs w:val="36"/>
        </w:rPr>
        <w:t>年</w:t>
      </w:r>
      <w:r>
        <w:rPr>
          <w:rFonts w:hint="eastAsia"/>
          <w:b/>
          <w:bCs/>
          <w:sz w:val="28"/>
          <w:szCs w:val="36"/>
          <w:lang w:val="en-US" w:eastAsia="zh-CN"/>
        </w:rPr>
        <w:t>9</w:t>
      </w:r>
      <w:r>
        <w:rPr>
          <w:b/>
          <w:bCs/>
          <w:sz w:val="28"/>
          <w:szCs w:val="36"/>
        </w:rPr>
        <w:t>月</w:t>
      </w:r>
      <w:r>
        <w:rPr>
          <w:rFonts w:hint="eastAsia"/>
          <w:b/>
          <w:bCs/>
          <w:sz w:val="28"/>
          <w:szCs w:val="36"/>
          <w:lang w:val="en-US" w:eastAsia="zh-CN"/>
        </w:rPr>
        <w:t>11</w:t>
      </w:r>
      <w:r>
        <w:rPr>
          <w:b/>
          <w:bCs/>
          <w:sz w:val="28"/>
          <w:szCs w:val="36"/>
        </w:rPr>
        <w:t>日-</w:t>
      </w:r>
      <w:r>
        <w:rPr>
          <w:rFonts w:hint="eastAsia"/>
          <w:b/>
          <w:bCs/>
          <w:sz w:val="28"/>
          <w:szCs w:val="36"/>
          <w:lang w:val="en-US" w:eastAsia="zh-CN"/>
        </w:rPr>
        <w:t>13</w:t>
      </w:r>
      <w:r>
        <w:rPr>
          <w:b/>
          <w:bCs/>
          <w:sz w:val="28"/>
          <w:szCs w:val="36"/>
        </w:rPr>
        <w:t>日</w:t>
      </w:r>
      <w:r>
        <w:rPr>
          <w:rFonts w:hint="eastAsia"/>
          <w:b/>
          <w:bCs/>
          <w:sz w:val="28"/>
          <w:szCs w:val="36"/>
        </w:rPr>
        <w:t xml:space="preserve">       成都世纪城新国际会展中心</w:t>
      </w:r>
    </w:p>
    <w:p>
      <w:pPr>
        <w:spacing w:line="320" w:lineRule="exact"/>
        <w:rPr>
          <w:rFonts w:ascii="Arial" w:hAnsi="Arial" w:cs="Arial"/>
          <w:b/>
          <w:bCs/>
          <w:sz w:val="28"/>
        </w:rPr>
      </w:pPr>
    </w:p>
    <w:p>
      <w:pPr>
        <w:spacing w:line="440" w:lineRule="exact"/>
        <w:rPr>
          <w:rFonts w:asciiTheme="minorEastAsia" w:hAnsiTheme="minorEastAsia" w:eastAsiaTheme="minorEastAsia" w:cstheme="minorEastAsia"/>
          <w:b/>
          <w:bCs/>
          <w:spacing w:val="20"/>
          <w:szCs w:val="21"/>
        </w:rPr>
      </w:pPr>
    </w:p>
    <w:p>
      <w:pPr>
        <w:spacing w:line="360" w:lineRule="auto"/>
        <w:jc w:val="center"/>
        <w:rPr>
          <w:rFonts w:asciiTheme="minorEastAsia" w:hAnsiTheme="minorEastAsia" w:eastAsiaTheme="minorEastAsia" w:cstheme="minorEastAsia"/>
          <w:b/>
          <w:bCs/>
          <w:spacing w:val="20"/>
          <w:sz w:val="24"/>
        </w:rPr>
      </w:pPr>
      <w:r>
        <w:rPr>
          <w:rFonts w:hint="eastAsia" w:asciiTheme="minorEastAsia" w:hAnsiTheme="minorEastAsia" w:eastAsiaTheme="minorEastAsia" w:cstheme="minorEastAsia"/>
          <w:b/>
          <w:bCs/>
          <w:spacing w:val="20"/>
          <w:sz w:val="24"/>
        </w:rPr>
        <w:t>主办单位</w:t>
      </w:r>
    </w:p>
    <w:p>
      <w:pPr>
        <w:spacing w:line="360" w:lineRule="auto"/>
        <w:jc w:val="center"/>
        <w:rPr>
          <w:rFonts w:asciiTheme="minorEastAsia" w:hAnsiTheme="minorEastAsia" w:eastAsiaTheme="minorEastAsia" w:cstheme="minorEastAsia"/>
          <w:bCs/>
          <w:spacing w:val="20"/>
          <w:szCs w:val="21"/>
        </w:rPr>
      </w:pPr>
      <w:r>
        <w:rPr>
          <w:rFonts w:hint="eastAsia" w:asciiTheme="minorEastAsia" w:hAnsiTheme="minorEastAsia" w:eastAsiaTheme="minorEastAsia" w:cstheme="minorEastAsia"/>
          <w:bCs/>
          <w:spacing w:val="20"/>
          <w:szCs w:val="21"/>
        </w:rPr>
        <w:t>振威国际会展集团</w:t>
      </w:r>
    </w:p>
    <w:p>
      <w:pPr>
        <w:spacing w:line="360" w:lineRule="auto"/>
        <w:jc w:val="center"/>
        <w:rPr>
          <w:rFonts w:ascii="Arial" w:hAnsi="宋体" w:cs="Arial"/>
          <w:bCs/>
          <w:spacing w:val="20"/>
          <w:szCs w:val="21"/>
        </w:rPr>
      </w:pPr>
      <w:r>
        <w:rPr>
          <w:rFonts w:hint="eastAsia" w:asciiTheme="minorEastAsia" w:hAnsiTheme="minorEastAsia" w:eastAsiaTheme="minorEastAsia" w:cstheme="minorEastAsia"/>
          <w:bCs/>
          <w:spacing w:val="20"/>
          <w:szCs w:val="21"/>
        </w:rPr>
        <w:t>北京振威展览有限公司</w:t>
      </w:r>
    </w:p>
    <w:p>
      <w:pPr>
        <w:spacing w:line="440" w:lineRule="exact"/>
        <w:jc w:val="center"/>
        <w:rPr>
          <w:rFonts w:ascii="Arial" w:hAnsi="宋体" w:cs="Arial"/>
          <w:b/>
          <w:bCs/>
          <w:spacing w:val="20"/>
          <w:szCs w:val="21"/>
        </w:rPr>
      </w:pPr>
    </w:p>
    <w:p>
      <w:pPr>
        <w:spacing w:line="360" w:lineRule="auto"/>
        <w:jc w:val="center"/>
        <w:rPr>
          <w:rFonts w:asciiTheme="minorEastAsia" w:hAnsiTheme="minorEastAsia" w:eastAsiaTheme="minorEastAsia" w:cstheme="minorEastAsia"/>
          <w:b/>
          <w:bCs/>
          <w:spacing w:val="20"/>
          <w:sz w:val="24"/>
        </w:rPr>
      </w:pPr>
      <w:r>
        <w:rPr>
          <w:rFonts w:hint="eastAsia" w:asciiTheme="minorEastAsia" w:hAnsiTheme="minorEastAsia" w:eastAsiaTheme="minorEastAsia" w:cstheme="minorEastAsia"/>
          <w:b/>
          <w:bCs/>
          <w:spacing w:val="20"/>
          <w:sz w:val="24"/>
        </w:rPr>
        <w:t>支持单位</w:t>
      </w:r>
    </w:p>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中国石油和化学工业联合会</w:t>
      </w:r>
    </w:p>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中国石油和石油化工设备工业协会</w:t>
      </w:r>
    </w:p>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中国电器工业协会防爆电器分会</w:t>
      </w:r>
    </w:p>
    <w:p>
      <w:pPr>
        <w:spacing w:line="420" w:lineRule="exact"/>
        <w:ind w:right="372" w:rightChars="177"/>
        <w:rPr>
          <w:rFonts w:ascii="Arial" w:hAnsi="宋体" w:cs="Arial"/>
          <w:b/>
          <w:bCs/>
          <w:szCs w:val="21"/>
          <w:shd w:val="pct10" w:color="auto" w:fill="FFFFFF"/>
        </w:rPr>
      </w:pPr>
    </w:p>
    <w:p>
      <w:pPr>
        <w:spacing w:line="420" w:lineRule="exact"/>
        <w:ind w:right="372" w:rightChars="177"/>
        <w:rPr>
          <w:rFonts w:ascii="Arial" w:hAnsi="宋体" w:cs="Arial"/>
          <w:b/>
          <w:bCs/>
          <w:szCs w:val="21"/>
          <w:shd w:val="pct10" w:color="auto" w:fill="FFFFFF"/>
        </w:rPr>
      </w:pPr>
    </w:p>
    <w:p>
      <w:pPr>
        <w:spacing w:line="420" w:lineRule="exact"/>
        <w:ind w:right="372" w:rightChars="177"/>
        <w:rPr>
          <w:rFonts w:ascii="Arial" w:hAnsi="宋体" w:cs="Arial"/>
          <w:b/>
          <w:bCs/>
          <w:szCs w:val="21"/>
          <w:shd w:val="pct10" w:color="auto" w:fill="FFFFFF"/>
        </w:rPr>
      </w:pPr>
    </w:p>
    <w:p>
      <w:pPr>
        <w:pStyle w:val="2"/>
        <w:ind w:firstLine="0" w:firstLineChars="0"/>
      </w:pPr>
      <w:r>
        <w:drawing>
          <wp:anchor distT="0" distB="0" distL="114300" distR="114300" simplePos="0" relativeHeight="251664384" behindDoc="1" locked="0" layoutInCell="1" allowOverlap="1">
            <wp:simplePos x="0" y="0"/>
            <wp:positionH relativeFrom="column">
              <wp:posOffset>2551430</wp:posOffset>
            </wp:positionH>
            <wp:positionV relativeFrom="paragraph">
              <wp:posOffset>151130</wp:posOffset>
            </wp:positionV>
            <wp:extent cx="1254760" cy="1039495"/>
            <wp:effectExtent l="0" t="0" r="2540" b="1905"/>
            <wp:wrapNone/>
            <wp:docPr id="12"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 descr="D:\Users\王永萍\Desktop\振威LOGO-03(1).jpg振威LOGO-03(1)"/>
                    <pic:cNvPicPr>
                      <a:picLocks noChangeAspect="1"/>
                    </pic:cNvPicPr>
                  </pic:nvPicPr>
                  <pic:blipFill>
                    <a:blip r:embed="rId4"/>
                    <a:srcRect/>
                    <a:stretch>
                      <a:fillRect/>
                    </a:stretch>
                  </pic:blipFill>
                  <pic:spPr>
                    <a:xfrm>
                      <a:off x="0" y="0"/>
                      <a:ext cx="1254760" cy="1039495"/>
                    </a:xfrm>
                    <a:prstGeom prst="rect">
                      <a:avLst/>
                    </a:prstGeom>
                    <a:noFill/>
                    <a:ln>
                      <a:noFill/>
                    </a:ln>
                  </pic:spPr>
                </pic:pic>
              </a:graphicData>
            </a:graphic>
          </wp:anchor>
        </w:drawing>
      </w:r>
    </w:p>
    <w:p>
      <w:pPr>
        <w:spacing w:line="360" w:lineRule="auto"/>
        <w:rPr>
          <w:rFonts w:ascii="微软雅黑" w:hAnsi="微软雅黑" w:eastAsia="微软雅黑"/>
          <w:b/>
          <w:sz w:val="22"/>
          <w:szCs w:val="22"/>
        </w:rPr>
      </w:pPr>
    </w:p>
    <w:p>
      <w:pPr>
        <w:spacing w:line="360" w:lineRule="auto"/>
        <w:rPr>
          <w:rFonts w:ascii="微软雅黑" w:hAnsi="微软雅黑" w:eastAsia="微软雅黑"/>
          <w:b/>
          <w:sz w:val="22"/>
          <w:szCs w:val="22"/>
        </w:rPr>
      </w:pPr>
    </w:p>
    <w:p>
      <w:pPr>
        <w:spacing w:line="360" w:lineRule="auto"/>
        <w:rPr>
          <w:rFonts w:ascii="微软雅黑" w:hAnsi="微软雅黑" w:eastAsia="微软雅黑"/>
          <w:b/>
          <w:sz w:val="22"/>
          <w:szCs w:val="22"/>
        </w:rPr>
      </w:pPr>
      <w:r>
        <w:rPr>
          <w:rFonts w:hint="eastAsia" w:ascii="微软雅黑" w:hAnsi="微软雅黑" w:eastAsia="微软雅黑"/>
          <w:b/>
          <w:sz w:val="22"/>
          <w:szCs w:val="22"/>
        </w:rPr>
        <w:t>行业盛会，打造油气领域创新高地</w:t>
      </w:r>
    </w:p>
    <w:p>
      <w:pPr>
        <w:spacing w:line="380" w:lineRule="exact"/>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西南油气资源在我国油气行业的地位历来举足轻重，2021年12月2日，蜀南气矿年产油气当量突破千万吨，达到1000.8万吨。“十四五”时期，中国能源发展将进入转型加速期，绿色化、高端化以及差异化的发展将为石油石化产业创造更多细分领域的新机遇，在绿色、安全、智慧和创新的目标指引下，消费升级与供给侧结构性改革，推动着行业发展的深度变革。作为一年一度的世界石油天然气大会，cippe一直以“服务企业，助推产业”为己任，展会已逐渐覆盖华北、华东以及西南市场，成为服务于我国油气及石油</w:t>
      </w:r>
      <w:r>
        <w:rPr>
          <w:rFonts w:hint="eastAsia" w:asciiTheme="minorEastAsia" w:hAnsiTheme="minorEastAsia" w:eastAsiaTheme="minorEastAsia" w:cstheme="minorEastAsia"/>
          <w:szCs w:val="21"/>
          <w:highlight w:val="none"/>
        </w:rPr>
        <w:t>化工领域的一站式平台。</w:t>
      </w:r>
    </w:p>
    <w:p>
      <w:pPr>
        <w:spacing w:line="3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none"/>
        </w:rPr>
        <w:t>202</w:t>
      </w:r>
      <w:r>
        <w:rPr>
          <w:rFonts w:hint="eastAsia" w:asciiTheme="minorEastAsia" w:hAnsiTheme="minorEastAsia" w:eastAsiaTheme="minorEastAsia" w:cstheme="minorEastAsia"/>
          <w:szCs w:val="21"/>
          <w:highlight w:val="none"/>
          <w:lang w:val="en-US" w:eastAsia="zh-CN"/>
        </w:rPr>
        <w:t>4</w:t>
      </w:r>
      <w:r>
        <w:rPr>
          <w:rFonts w:hint="eastAsia" w:asciiTheme="minorEastAsia" w:hAnsiTheme="minorEastAsia" w:eastAsiaTheme="minorEastAsia" w:cstheme="minorEastAsia"/>
          <w:szCs w:val="21"/>
          <w:highlight w:val="none"/>
        </w:rPr>
        <w:t>年</w:t>
      </w:r>
      <w:r>
        <w:rPr>
          <w:rFonts w:hint="eastAsia" w:asciiTheme="minorEastAsia" w:hAnsiTheme="minorEastAsia" w:eastAsiaTheme="minorEastAsia" w:cstheme="minorEastAsia"/>
          <w:szCs w:val="21"/>
          <w:highlight w:val="none"/>
          <w:lang w:val="en-US" w:eastAsia="zh-CN"/>
        </w:rPr>
        <w:t>9</w:t>
      </w:r>
      <w:r>
        <w:rPr>
          <w:rFonts w:hint="eastAsia" w:asciiTheme="minorEastAsia" w:hAnsiTheme="minorEastAsia" w:eastAsiaTheme="minorEastAsia" w:cstheme="minorEastAsia"/>
          <w:szCs w:val="21"/>
          <w:highlight w:val="none"/>
        </w:rPr>
        <w:t>月</w:t>
      </w:r>
      <w:r>
        <w:rPr>
          <w:rFonts w:hint="eastAsia" w:asciiTheme="minorEastAsia" w:hAnsiTheme="minorEastAsia" w:eastAsiaTheme="minorEastAsia" w:cstheme="minorEastAsia"/>
          <w:szCs w:val="21"/>
          <w:highlight w:val="none"/>
          <w:lang w:val="en-US" w:eastAsia="zh-CN"/>
        </w:rPr>
        <w:t>11</w:t>
      </w:r>
      <w:r>
        <w:rPr>
          <w:rFonts w:hint="eastAsia" w:asciiTheme="minorEastAsia" w:hAnsiTheme="minorEastAsia" w:eastAsiaTheme="minorEastAsia" w:cstheme="minorEastAsia"/>
          <w:szCs w:val="21"/>
          <w:highlight w:val="none"/>
        </w:rPr>
        <w:t>-</w:t>
      </w:r>
      <w:r>
        <w:rPr>
          <w:rFonts w:hint="eastAsia" w:asciiTheme="minorEastAsia" w:hAnsiTheme="minorEastAsia" w:eastAsiaTheme="minorEastAsia" w:cstheme="minorEastAsia"/>
          <w:szCs w:val="21"/>
          <w:highlight w:val="none"/>
          <w:lang w:val="en-US" w:eastAsia="zh-CN"/>
        </w:rPr>
        <w:t>13</w:t>
      </w:r>
      <w:r>
        <w:rPr>
          <w:rFonts w:hint="eastAsia" w:asciiTheme="minorEastAsia" w:hAnsiTheme="minorEastAsia" w:eastAsiaTheme="minorEastAsia" w:cstheme="minorEastAsia"/>
          <w:szCs w:val="21"/>
          <w:highlight w:val="none"/>
        </w:rPr>
        <w:t>日，</w:t>
      </w:r>
      <w:r>
        <w:rPr>
          <w:rFonts w:hint="eastAsia" w:asciiTheme="minorEastAsia" w:hAnsiTheme="minorEastAsia" w:eastAsiaTheme="minorEastAsia" w:cstheme="minorEastAsia"/>
          <w:szCs w:val="21"/>
          <w:highlight w:val="none"/>
          <w:lang w:val="en-US" w:eastAsia="zh-CN"/>
        </w:rPr>
        <w:t>2024</w:t>
      </w:r>
      <w:r>
        <w:rPr>
          <w:rFonts w:hint="eastAsia" w:asciiTheme="minorEastAsia" w:hAnsiTheme="minorEastAsia" w:eastAsiaTheme="minorEastAsia" w:cstheme="minorEastAsia"/>
          <w:szCs w:val="21"/>
          <w:highlight w:val="none"/>
        </w:rPr>
        <w:t>成都国</w:t>
      </w:r>
      <w:r>
        <w:rPr>
          <w:rFonts w:hint="eastAsia" w:asciiTheme="minorEastAsia" w:hAnsiTheme="minorEastAsia" w:eastAsiaTheme="minorEastAsia" w:cstheme="minorEastAsia"/>
          <w:szCs w:val="21"/>
        </w:rPr>
        <w:t>际石油石化技术装备展览会（cippe成都石油展）将在成都世纪城新国际会展中心举办，总览面积30,000平方米，来自全国各地区的400家企业将亮相展会现场，预计吸引国内外2万人次的专业观众到场参观。</w:t>
      </w:r>
    </w:p>
    <w:p>
      <w:pPr>
        <w:spacing w:line="360" w:lineRule="auto"/>
        <w:rPr>
          <w:rFonts w:ascii="微软雅黑" w:hAnsi="微软雅黑" w:eastAsia="微软雅黑"/>
          <w:b/>
          <w:sz w:val="22"/>
          <w:szCs w:val="22"/>
        </w:rPr>
      </w:pPr>
      <w:r>
        <w:rPr>
          <w:rFonts w:hint="eastAsia" w:ascii="微软雅黑" w:hAnsi="微软雅黑" w:eastAsia="微软雅黑"/>
          <w:b/>
          <w:sz w:val="22"/>
          <w:szCs w:val="22"/>
        </w:rPr>
        <w:t>同期论坛，促进前沿技术深入交流</w:t>
      </w:r>
    </w:p>
    <w:p>
      <w:pPr>
        <w:spacing w:line="3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none"/>
        </w:rPr>
        <w:t>展会</w:t>
      </w:r>
      <w:r>
        <w:rPr>
          <w:rFonts w:hint="eastAsia" w:asciiTheme="minorEastAsia" w:hAnsiTheme="minorEastAsia" w:eastAsiaTheme="minorEastAsia" w:cstheme="minorEastAsia"/>
          <w:szCs w:val="21"/>
          <w:highlight w:val="none"/>
          <w:lang w:val="en-US" w:eastAsia="zh-CN"/>
        </w:rPr>
        <w:t>将</w:t>
      </w:r>
      <w:r>
        <w:rPr>
          <w:rFonts w:hint="eastAsia" w:asciiTheme="minorEastAsia" w:hAnsiTheme="minorEastAsia" w:eastAsiaTheme="minorEastAsia" w:cstheme="minorEastAsia"/>
          <w:szCs w:val="21"/>
          <w:highlight w:val="none"/>
        </w:rPr>
        <w:t>打造西部石油行业高品质峰会，将邀请行业协会、石油石化装备制造企业、行业科研院所、行业权威媒体等业界大咖齐聚一堂，探讨行业热点及痛点，</w:t>
      </w:r>
      <w:r>
        <w:rPr>
          <w:rFonts w:hint="eastAsia" w:asciiTheme="minorEastAsia" w:hAnsiTheme="minorEastAsia" w:eastAsiaTheme="minorEastAsia" w:cstheme="minorEastAsia"/>
          <w:szCs w:val="21"/>
        </w:rPr>
        <w:t>把脉行业发展趋势，实现资源、技术、信息、科技成果有效对接。</w:t>
      </w:r>
    </w:p>
    <w:p>
      <w:pPr>
        <w:spacing w:line="360" w:lineRule="auto"/>
        <w:rPr>
          <w:rFonts w:ascii="微软雅黑" w:hAnsi="微软雅黑" w:eastAsia="微软雅黑"/>
          <w:b/>
          <w:sz w:val="22"/>
          <w:szCs w:val="22"/>
        </w:rPr>
      </w:pPr>
      <w:r>
        <w:rPr>
          <w:rFonts w:hint="eastAsia" w:ascii="微软雅黑" w:hAnsi="微软雅黑" w:eastAsia="微软雅黑"/>
          <w:b/>
          <w:sz w:val="22"/>
          <w:szCs w:val="22"/>
        </w:rPr>
        <w:t>采购活动，搭建高效供求交易平台</w:t>
      </w:r>
    </w:p>
    <w:p>
      <w:pPr>
        <w:spacing w:line="3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ippe买家采购对接会”是cippe成都石油展重点打造的品牌活动，旨在为供求双方打造一个高效、精准、可信赖的供求交流平台。组委会投入专人，深度挖掘意向采购客户，根据买家的采购需求，精准匹配优质展商，促进供求双方深度交流，实现线上线下完美融合。</w:t>
      </w:r>
    </w:p>
    <w:p>
      <w:pPr>
        <w:spacing w:line="360" w:lineRule="auto"/>
        <w:rPr>
          <w:rFonts w:asciiTheme="minorEastAsia" w:hAnsiTheme="minorEastAsia" w:eastAsiaTheme="minorEastAsia" w:cstheme="minorEastAsia"/>
          <w:b/>
          <w:bCs/>
          <w:sz w:val="22"/>
          <w:szCs w:val="22"/>
          <w:shd w:val="clear" w:color="auto" w:fill="FFFFFF"/>
        </w:rPr>
      </w:pPr>
      <w:r>
        <w:rPr>
          <w:rFonts w:hint="eastAsia" w:ascii="微软雅黑" w:hAnsi="微软雅黑" w:eastAsia="微软雅黑"/>
          <w:b/>
          <w:sz w:val="22"/>
          <w:szCs w:val="22"/>
        </w:rPr>
        <w:t>展会联动，全力保障行业专业观众</w:t>
      </w:r>
    </w:p>
    <w:p>
      <w:pPr>
        <w:spacing w:line="3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办方振威国际会展集团是我国石油石化领域最专业的展览公司，沉淀行业20余年，积累了深厚的行业资源，旗下cippe北京石油展、cippe上海石化展均为石油石化行业首屈一指的品牌展会。本届展会是振威国际会展集团布局西南石油石化市场</w:t>
      </w:r>
      <w:r>
        <w:rPr>
          <w:rFonts w:hint="eastAsia" w:asciiTheme="minorEastAsia" w:hAnsiTheme="minorEastAsia" w:eastAsiaTheme="minorEastAsia" w:cstheme="minorEastAsia"/>
          <w:szCs w:val="21"/>
          <w:highlight w:val="none"/>
        </w:rPr>
        <w:t>的</w:t>
      </w:r>
      <w:r>
        <w:rPr>
          <w:rFonts w:hint="eastAsia" w:asciiTheme="minorEastAsia" w:hAnsiTheme="minorEastAsia" w:eastAsiaTheme="minorEastAsia" w:cstheme="minorEastAsia"/>
          <w:sz w:val="21"/>
          <w:szCs w:val="21"/>
          <w:highlight w:val="none"/>
          <w:lang w:val="en-US" w:eastAsia="zh-CN"/>
        </w:rPr>
        <w:t>重大交易平台</w:t>
      </w:r>
      <w:r>
        <w:rPr>
          <w:rFonts w:hint="eastAsia" w:asciiTheme="minorEastAsia" w:hAnsiTheme="minorEastAsia" w:eastAsiaTheme="minorEastAsia" w:cstheme="minorEastAsia"/>
          <w:szCs w:val="21"/>
          <w:highlight w:val="none"/>
        </w:rPr>
        <w:t>，集团将导入优质行业资源，助力成都国际石油石化技术装备展跨越式发展。秉承振威会展“专业观众是展会生命力”</w:t>
      </w:r>
      <w:r>
        <w:rPr>
          <w:rFonts w:hint="eastAsia" w:asciiTheme="minorEastAsia" w:hAnsiTheme="minorEastAsia" w:eastAsiaTheme="minorEastAsia" w:cstheme="minorEastAsia"/>
          <w:szCs w:val="21"/>
        </w:rPr>
        <w:t>的办展宗旨，主办方精准把握展商需求，锁定重点行业，组织核心买家群。常年通过电话、邮件、短信、网络推广、大数据营销、媒体发布、行业协会合作等多种渠道，锁定重点区域与重点行业，进行全方位展会观众邀约，切实保障企业参展成效。</w:t>
      </w:r>
    </w:p>
    <w:p>
      <w:pPr>
        <w:widowControl/>
        <w:spacing w:line="360" w:lineRule="auto"/>
        <w:jc w:val="left"/>
        <w:rPr>
          <w:rFonts w:ascii="微软雅黑" w:hAnsi="微软雅黑" w:eastAsia="微软雅黑"/>
          <w:b/>
          <w:sz w:val="22"/>
          <w:szCs w:val="22"/>
        </w:rPr>
      </w:pPr>
      <w:r>
        <w:rPr>
          <w:rFonts w:hint="eastAsia" w:ascii="微软雅黑" w:hAnsi="微软雅黑" w:eastAsia="微软雅黑"/>
          <w:b/>
          <w:sz w:val="22"/>
          <w:szCs w:val="22"/>
        </w:rPr>
        <w:t>品牌传播，优质媒体助力全程报道</w:t>
      </w:r>
    </w:p>
    <w:p>
      <w:pPr>
        <w:spacing w:line="3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展会将邀请新华社、人民日报、中央电视台、中国日报、中国石油报、中国石化报、</w:t>
      </w:r>
      <w:r>
        <w:rPr>
          <w:rFonts w:hint="eastAsia" w:asciiTheme="minorEastAsia" w:hAnsiTheme="minorEastAsia" w:eastAsiaTheme="minorEastAsia" w:cstheme="minorEastAsia"/>
          <w:sz w:val="21"/>
          <w:szCs w:val="21"/>
          <w:lang w:val="en-US" w:eastAsia="zh-CN"/>
        </w:rPr>
        <w:t>石油商报、Upstream、Gulfoilfield Directory、中国证券报、</w:t>
      </w:r>
      <w:r>
        <w:rPr>
          <w:rFonts w:hint="eastAsia" w:asciiTheme="minorEastAsia" w:hAnsiTheme="minorEastAsia" w:eastAsiaTheme="minorEastAsia" w:cstheme="minorEastAsia"/>
          <w:szCs w:val="21"/>
        </w:rPr>
        <w:t>上海证券报、第一财经日报、华尔街日报及新华网、新浪、搜狐、人民网等国内外上千家媒体进行报道。</w:t>
      </w:r>
    </w:p>
    <w:p>
      <w:pPr>
        <w:spacing w:line="480" w:lineRule="auto"/>
        <w:rPr>
          <w:rFonts w:ascii="Arial" w:hAnsi="宋体" w:cs="Arial"/>
          <w:b/>
          <w:bCs/>
          <w:sz w:val="22"/>
          <w:szCs w:val="22"/>
          <w:shd w:val="pct10" w:color="auto" w:fill="FFFFFF"/>
        </w:rPr>
      </w:pPr>
    </w:p>
    <w:p>
      <w:pPr>
        <w:spacing w:line="480" w:lineRule="auto"/>
        <w:rPr>
          <w:rFonts w:ascii="Arial" w:hAnsi="宋体" w:cs="Arial"/>
          <w:b/>
          <w:bCs/>
          <w:sz w:val="22"/>
          <w:szCs w:val="22"/>
          <w:shd w:val="pct10" w:color="auto" w:fill="FFFFFF"/>
        </w:rPr>
      </w:pPr>
    </w:p>
    <w:p>
      <w:pPr>
        <w:spacing w:line="420" w:lineRule="exact"/>
        <w:rPr>
          <w:rFonts w:hint="eastAsia" w:asciiTheme="minorEastAsia" w:hAnsiTheme="minorEastAsia" w:eastAsiaTheme="minorEastAsia" w:cstheme="minorEastAsia"/>
          <w:b/>
          <w:szCs w:val="21"/>
          <w:lang w:eastAsia="zh-CN"/>
        </w:rPr>
      </w:pPr>
    </w:p>
    <w:p>
      <w:pPr>
        <w:spacing w:line="420" w:lineRule="exact"/>
        <w:rPr>
          <w:rFonts w:ascii="Arial" w:hAnsi="宋体" w:cs="Arial"/>
          <w:b/>
          <w:bCs/>
          <w:sz w:val="22"/>
          <w:szCs w:val="22"/>
          <w:shd w:val="pct10" w:color="auto" w:fill="FFFFFF"/>
        </w:rPr>
      </w:pPr>
      <w:r>
        <w:rPr>
          <w:rFonts w:hint="eastAsia" w:asciiTheme="minorEastAsia" w:hAnsiTheme="minorEastAsia" w:eastAsiaTheme="minorEastAsia" w:cstheme="minorEastAsia"/>
          <w:b/>
          <w:szCs w:val="21"/>
        </w:rPr>
        <w:t>展会日程：</w:t>
      </w:r>
    </w:p>
    <w:p>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报到布展：202</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 xml:space="preserve">日 </w:t>
      </w:r>
      <w:r>
        <w:rPr>
          <w:rFonts w:asciiTheme="minorEastAsia" w:hAnsiTheme="minorEastAsia" w:eastAsiaTheme="minorEastAsia" w:cstheme="minorEastAsia"/>
          <w:szCs w:val="21"/>
        </w:rPr>
        <w:t xml:space="preserve">   </w:t>
      </w:r>
    </w:p>
    <w:p>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展示交易：202</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13</w:t>
      </w:r>
      <w:r>
        <w:rPr>
          <w:rFonts w:hint="eastAsia" w:asciiTheme="minorEastAsia" w:hAnsiTheme="minorEastAsia" w:eastAsiaTheme="minorEastAsia" w:cstheme="minorEastAsia"/>
          <w:szCs w:val="21"/>
        </w:rPr>
        <w:t xml:space="preserve">日 </w:t>
      </w:r>
    </w:p>
    <w:p>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闭幕撤展：202</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13</w:t>
      </w:r>
      <w:r>
        <w:rPr>
          <w:rFonts w:hint="eastAsia" w:asciiTheme="minorEastAsia" w:hAnsiTheme="minorEastAsia" w:eastAsiaTheme="minorEastAsia" w:cstheme="minorEastAsia"/>
          <w:szCs w:val="21"/>
        </w:rPr>
        <w:t>日下午14：00</w:t>
      </w:r>
    </w:p>
    <w:p>
      <w:pPr>
        <w:spacing w:line="480" w:lineRule="auto"/>
        <w:rPr>
          <w:rFonts w:ascii="Arial" w:hAnsi="宋体" w:cs="Arial"/>
          <w:b/>
          <w:bCs/>
          <w:sz w:val="22"/>
          <w:szCs w:val="22"/>
          <w:shd w:val="pct10" w:color="auto" w:fill="FFFFFF"/>
        </w:rPr>
      </w:pPr>
      <w:r>
        <w:rPr>
          <w:rFonts w:ascii="Arial" w:hAnsi="宋体" w:cs="Arial"/>
          <w:b/>
          <w:bCs/>
          <w:sz w:val="22"/>
          <w:szCs w:val="22"/>
          <w:shd w:val="pct10" w:color="auto" w:fill="FFFFFF"/>
        </w:rPr>
        <w:t>如果您是下列产品的供应商，请即预定展位</w:t>
      </w:r>
    </w:p>
    <w:tbl>
      <w:tblPr>
        <w:tblStyle w:val="10"/>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油气勘探开发</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cs="Arial" w:asciiTheme="minorEastAsia" w:hAnsiTheme="minorEastAsia" w:eastAsiaTheme="minorEastAsia"/>
                <w:color w:val="000000" w:themeColor="text1"/>
                <w:sz w:val="20"/>
                <w:szCs w:val="20"/>
                <w14:textFill>
                  <w14:solidFill>
                    <w14:schemeClr w14:val="tx1"/>
                  </w14:solidFill>
                </w14:textFill>
              </w:rPr>
              <w:t>物探、测井、钻井技术与设备</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完井技术与装备</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海洋工程技术与装备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天然气技术与装备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自动化技术装备、仪器仪表</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油气田地面工程技术及装备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石油石化设备与制造</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工业防爆产品</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油气管道建设工程技术</w:t>
            </w:r>
            <w:r>
              <w:rPr>
                <w:rFonts w:hint="eastAsia" w:cs="Arial" w:asciiTheme="minorEastAsia" w:hAnsiTheme="minorEastAsia" w:eastAsiaTheme="minorEastAsia"/>
                <w:color w:val="000000" w:themeColor="text1"/>
                <w:sz w:val="20"/>
                <w:szCs w:val="20"/>
                <w14:textFill>
                  <w14:solidFill>
                    <w14:schemeClr w14:val="tx1"/>
                  </w14:solidFill>
                </w14:textFill>
              </w:rPr>
              <w:t>与</w:t>
            </w:r>
            <w:r>
              <w:rPr>
                <w:rFonts w:cs="Arial" w:asciiTheme="minorEastAsia" w:hAnsiTheme="minorEastAsia" w:eastAsiaTheme="minorEastAsia"/>
                <w:color w:val="000000" w:themeColor="text1"/>
                <w:sz w:val="20"/>
                <w:szCs w:val="20"/>
                <w14:textFill>
                  <w14:solidFill>
                    <w14:schemeClr w14:val="tx1"/>
                  </w14:solidFill>
                </w14:textFill>
              </w:rPr>
              <w:t>设备</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管道非开挖技术与装备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发电机组</w:t>
            </w:r>
            <w:r>
              <w:rPr>
                <w:rFonts w:hint="eastAsia" w:cs="Arial" w:asciiTheme="minorEastAsia" w:hAnsiTheme="minorEastAsia" w:eastAsiaTheme="minorEastAsia"/>
                <w:color w:val="000000" w:themeColor="text1"/>
                <w:sz w:val="20"/>
                <w:szCs w:val="20"/>
                <w14:textFill>
                  <w14:solidFill>
                    <w14:schemeClr w14:val="tx1"/>
                  </w14:solidFill>
                </w14:textFill>
              </w:rPr>
              <w:t>、</w:t>
            </w:r>
            <w:r>
              <w:rPr>
                <w:rFonts w:cs="Arial" w:asciiTheme="minorEastAsia" w:hAnsiTheme="minorEastAsia" w:eastAsiaTheme="minorEastAsia"/>
                <w:color w:val="000000" w:themeColor="text1"/>
                <w:sz w:val="20"/>
                <w:szCs w:val="20"/>
                <w14:textFill>
                  <w14:solidFill>
                    <w14:schemeClr w14:val="tx1"/>
                  </w14:solidFill>
                </w14:textFill>
              </w:rPr>
              <w:t>动力设备</w:t>
            </w:r>
          </w:p>
          <w:p>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油气储运技术与设备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油田特种车辆</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电工电气设备、电线电缆产品</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石油炼制工艺与技术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石化工艺与技术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设备检修、维护与管理</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流体机械设备与技术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压力容器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燃油与润滑油技术与设备</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石化产品和先进材料</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加油加气站设备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0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环保、节能技术设备</w:t>
            </w:r>
          </w:p>
          <w:p>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消防、预警技术设备与安全防护产品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工业清洗及防腐技术材料与</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包装/密封/垫圈/紧固件/轴承</w:t>
            </w:r>
          </w:p>
          <w:p>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油气数字化解决方案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通信与信息技术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其他配件</w:t>
            </w:r>
          </w:p>
          <w:p>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氢能技术与装备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0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认证、咨询服务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石油石化科研及实验室技术设备</w:t>
            </w:r>
          </w:p>
        </w:tc>
      </w:tr>
    </w:tbl>
    <w:p>
      <w:pPr>
        <w:spacing w:line="480" w:lineRule="auto"/>
        <w:rPr>
          <w:rFonts w:ascii="Arial" w:hAnsi="宋体" w:cs="Arial"/>
          <w:b/>
          <w:bCs/>
          <w:sz w:val="20"/>
          <w:szCs w:val="20"/>
          <w:shd w:val="pct10" w:color="auto" w:fill="FFFFFF"/>
        </w:rPr>
      </w:pPr>
      <w:r>
        <w:rPr>
          <w:rFonts w:ascii="Arial" w:hAnsi="宋体" w:cs="Arial"/>
          <w:b/>
          <w:bCs/>
          <w:sz w:val="20"/>
          <w:szCs w:val="20"/>
          <w:shd w:val="pct10" w:color="auto" w:fill="FFFFFF"/>
        </w:rPr>
        <w:t>参展细则</w:t>
      </w:r>
      <w:r>
        <w:rPr>
          <w:rFonts w:hint="eastAsia" w:ascii="Arial" w:hAnsi="宋体" w:cs="Arial"/>
          <w:b/>
          <w:bCs/>
          <w:sz w:val="20"/>
          <w:szCs w:val="20"/>
          <w:shd w:val="pct10" w:color="auto" w:fill="FFFFFF"/>
        </w:rPr>
        <w:t>（以下所有报价均未含增值税）</w:t>
      </w:r>
    </w:p>
    <w:tbl>
      <w:tblPr>
        <w:tblStyle w:val="9"/>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4533"/>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467" w:type="dxa"/>
          </w:tcPr>
          <w:p>
            <w:pPr>
              <w:widowControl/>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533" w:type="dxa"/>
          </w:tcPr>
          <w:p>
            <w:pPr>
              <w:widowControl/>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485" w:type="dxa"/>
          </w:tcPr>
          <w:p>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标准展台</w:t>
            </w:r>
          </w:p>
        </w:tc>
        <w:tc>
          <w:tcPr>
            <w:tcW w:w="4533" w:type="dxa"/>
          </w:tcPr>
          <w:p>
            <w:pPr>
              <w:widowControl/>
              <w:jc w:val="left"/>
            </w:pPr>
            <w:r>
              <w:rPr>
                <w:rFonts w:hint="eastAsia"/>
              </w:rPr>
              <w:t>国内展区：RMB1</w:t>
            </w:r>
            <w:r>
              <w:rPr>
                <w:rFonts w:hint="eastAsia"/>
                <w:lang w:val="en-US" w:eastAsia="zh-CN"/>
              </w:rPr>
              <w:t>3</w:t>
            </w:r>
            <w:r>
              <w:rPr>
                <w:rFonts w:hint="eastAsia"/>
              </w:rPr>
              <w:t>000元/标准展位（9㎡/个）</w:t>
            </w:r>
          </w:p>
          <w:p>
            <w:pPr>
              <w:widowControl/>
              <w:jc w:val="left"/>
            </w:pPr>
            <w:r>
              <w:rPr>
                <w:rFonts w:hint="eastAsia"/>
              </w:rPr>
              <w:t>精装展区：RMB16800元/标准展位（9㎡/个）</w:t>
            </w:r>
          </w:p>
          <w:p>
            <w:pPr>
              <w:widowControl/>
              <w:jc w:val="left"/>
            </w:pPr>
            <w:r>
              <w:rPr>
                <w:rFonts w:hint="eastAsia"/>
              </w:rPr>
              <w:t>国际展区：RMB21800元/标准展位（9㎡/个）</w:t>
            </w:r>
          </w:p>
          <w:p>
            <w:pPr>
              <w:pStyle w:val="2"/>
              <w:ind w:firstLine="200"/>
            </w:pPr>
            <w:r>
              <w:rPr>
                <w:rFonts w:hint="eastAsia" w:eastAsia="宋体"/>
                <w:sz w:val="20"/>
              </w:rPr>
              <w:t>双开位置加收20%开口费。</w:t>
            </w:r>
          </w:p>
        </w:tc>
        <w:tc>
          <w:tcPr>
            <w:tcW w:w="4485" w:type="dxa"/>
          </w:tcPr>
          <w:p>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◆地毯            ◆三面围板   </w:t>
            </w:r>
          </w:p>
          <w:p>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◆公司名称楣板    ◆咨询桌一张   </w:t>
            </w:r>
          </w:p>
          <w:p>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◆椅子两把        ◆射灯两盏</w:t>
            </w:r>
          </w:p>
          <w:p>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◆电源插座一个  </w:t>
            </w:r>
          </w:p>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特殊用电请事先说明，另行收费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jc w:val="center"/>
              <w:rPr>
                <w:rFonts w:asciiTheme="minorEastAsia" w:hAnsiTheme="minorEastAsia" w:eastAsiaTheme="minorEastAsia" w:cstheme="minorEastAsia"/>
                <w:sz w:val="20"/>
                <w:szCs w:val="20"/>
                <w:shd w:val="clear" w:color="auto" w:fill="FFFFFF"/>
              </w:rPr>
            </w:pPr>
          </w:p>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空场地</w:t>
            </w:r>
          </w:p>
        </w:tc>
        <w:tc>
          <w:tcPr>
            <w:tcW w:w="4533" w:type="dxa"/>
          </w:tcPr>
          <w:p>
            <w:pPr>
              <w:widowControl/>
              <w:jc w:val="left"/>
              <w:rPr>
                <w:sz w:val="20"/>
                <w:szCs w:val="20"/>
              </w:rPr>
            </w:pPr>
            <w:r>
              <w:rPr>
                <w:rFonts w:hint="eastAsia"/>
                <w:sz w:val="20"/>
                <w:szCs w:val="20"/>
              </w:rPr>
              <w:t>国内展区：RMB1</w:t>
            </w:r>
            <w:r>
              <w:rPr>
                <w:rFonts w:hint="eastAsia"/>
                <w:sz w:val="20"/>
                <w:szCs w:val="20"/>
                <w:lang w:val="en-US" w:eastAsia="zh-CN"/>
              </w:rPr>
              <w:t>3</w:t>
            </w:r>
            <w:r>
              <w:rPr>
                <w:rFonts w:hint="eastAsia"/>
                <w:sz w:val="20"/>
                <w:szCs w:val="20"/>
              </w:rPr>
              <w:t>00元/㎡（36平米起租）</w:t>
            </w:r>
          </w:p>
          <w:p>
            <w:pPr>
              <w:widowControl/>
              <w:jc w:val="left"/>
              <w:rPr>
                <w:sz w:val="20"/>
                <w:szCs w:val="20"/>
              </w:rPr>
            </w:pPr>
            <w:r>
              <w:rPr>
                <w:rFonts w:hint="eastAsia"/>
                <w:sz w:val="20"/>
                <w:szCs w:val="20"/>
              </w:rPr>
              <w:t>国际展区：RMB2180元/㎡</w:t>
            </w:r>
          </w:p>
        </w:tc>
        <w:tc>
          <w:tcPr>
            <w:tcW w:w="4485"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空场地不带任何展架及设施，参展商须选择组委会指定搭建商进行搭建，除指定搭建商外不允许任何搭建公司进入展馆。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67" w:type="dxa"/>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会务费</w:t>
            </w:r>
          </w:p>
        </w:tc>
        <w:tc>
          <w:tcPr>
            <w:tcW w:w="4533"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w:t>
            </w:r>
            <w:r>
              <w:rPr>
                <w:rFonts w:hint="eastAsia" w:asciiTheme="minorEastAsia" w:hAnsiTheme="minorEastAsia" w:eastAsiaTheme="minorEastAsia" w:cstheme="minorEastAsia"/>
                <w:sz w:val="20"/>
                <w:szCs w:val="20"/>
                <w:shd w:val="clear" w:color="auto" w:fill="FFFFFF"/>
              </w:rPr>
              <w:t>1,200元/人</w:t>
            </w:r>
          </w:p>
        </w:tc>
        <w:tc>
          <w:tcPr>
            <w:tcW w:w="4485"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含展会资料、午餐、水、礼品等。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jc w:val="center"/>
              <w:rPr>
                <w:rFonts w:asciiTheme="minorEastAsia" w:hAnsiTheme="minorEastAsia" w:eastAsiaTheme="minorEastAsia" w:cstheme="minorEastAsia"/>
                <w:sz w:val="20"/>
                <w:szCs w:val="20"/>
                <w:shd w:val="clear" w:color="auto" w:fill="FFFFFF"/>
              </w:rPr>
            </w:pPr>
          </w:p>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会刊广告</w:t>
            </w:r>
          </w:p>
        </w:tc>
        <w:tc>
          <w:tcPr>
            <w:tcW w:w="4533" w:type="dxa"/>
          </w:tcPr>
          <w:p>
            <w:pPr>
              <w:widowControl/>
              <w:jc w:val="left"/>
              <w:rPr>
                <w:rFonts w:asciiTheme="minorEastAsia" w:hAnsiTheme="minorEastAsia" w:eastAsiaTheme="minorEastAsia" w:cstheme="minorEastAsia"/>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封面：￥25,000元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0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封底： ￥20,000元 </w:t>
            </w:r>
          </w:p>
          <w:p>
            <w:pPr>
              <w:widowControl/>
              <w:jc w:val="left"/>
              <w:rPr>
                <w:rFonts w:asciiTheme="minorEastAsia" w:hAnsiTheme="minorEastAsia" w:eastAsiaTheme="minorEastAsia" w:cstheme="minorEastAsia"/>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封二：￥15,000元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封三：￥15,000元</w:t>
            </w:r>
          </w:p>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扉页：￥18,000元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彩色内页：￥8,000元 </w:t>
            </w:r>
          </w:p>
        </w:tc>
        <w:tc>
          <w:tcPr>
            <w:tcW w:w="4485" w:type="dxa"/>
          </w:tcPr>
          <w:p>
            <w:pPr>
              <w:widowControl/>
              <w:jc w:val="left"/>
              <w:rPr>
                <w:rFonts w:asciiTheme="minorEastAsia" w:hAnsiTheme="minorEastAsia" w:eastAsiaTheme="minorEastAsia" w:cstheme="minorEastAsia"/>
                <w:sz w:val="20"/>
                <w:szCs w:val="20"/>
                <w:shd w:val="clear" w:color="auto" w:fill="FFFFFF"/>
              </w:rPr>
            </w:pPr>
          </w:p>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会刊尺寸：130mm宽×210mm高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67" w:type="dxa"/>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技术讲座</w:t>
            </w:r>
          </w:p>
        </w:tc>
        <w:tc>
          <w:tcPr>
            <w:tcW w:w="4533"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rPr>
              <w:t xml:space="preserve">技术讲座（会议室）： </w:t>
            </w:r>
            <w:r>
              <w:rPr>
                <w:rFonts w:hint="eastAsia" w:asciiTheme="minorEastAsia" w:hAnsiTheme="minorEastAsia" w:eastAsiaTheme="minorEastAsia" w:cstheme="minorEastAsia"/>
                <w:color w:val="000000" w:themeColor="text1"/>
                <w:sz w:val="20"/>
                <w:szCs w:val="20"/>
                <w14:textFill>
                  <w14:solidFill>
                    <w14:schemeClr w14:val="tx1"/>
                  </w14:solidFill>
                </w14:textFill>
              </w:rPr>
              <w:t>￥</w:t>
            </w:r>
            <w:r>
              <w:rPr>
                <w:rFonts w:hint="eastAsia" w:asciiTheme="minorEastAsia" w:hAnsiTheme="minorEastAsia" w:eastAsiaTheme="minorEastAsia" w:cstheme="minorEastAsia"/>
                <w:sz w:val="20"/>
                <w:szCs w:val="20"/>
                <w:shd w:val="clear" w:color="auto" w:fill="FFFFFF"/>
              </w:rPr>
              <w:t>15,000元/场</w:t>
            </w:r>
          </w:p>
        </w:tc>
        <w:tc>
          <w:tcPr>
            <w:tcW w:w="4485" w:type="dxa"/>
          </w:tcPr>
          <w:p>
            <w:pPr>
              <w:widowControl/>
              <w:jc w:val="left"/>
            </w:pPr>
            <w:r>
              <w:rPr>
                <w:rFonts w:hint="eastAsia" w:asciiTheme="minorEastAsia" w:hAnsiTheme="minorEastAsia" w:eastAsiaTheme="minorEastAsia" w:cstheme="minorEastAsia"/>
                <w:sz w:val="20"/>
                <w:szCs w:val="20"/>
                <w:shd w:val="clear" w:color="auto" w:fill="FFFFFF"/>
              </w:rPr>
              <w:t>含场地、音响设备、投影仪、现场指示牌、水等。</w:t>
            </w:r>
          </w:p>
        </w:tc>
      </w:tr>
    </w:tbl>
    <w:p>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pPr>
        <w:spacing w:line="360" w:lineRule="auto"/>
        <w:rPr>
          <w:rFonts w:cs="Arial" w:asciiTheme="minorEastAsia" w:hAnsiTheme="minorEastAsia" w:eastAsiaTheme="minorEastAsia"/>
          <w:szCs w:val="21"/>
        </w:rPr>
      </w:pPr>
      <w:r>
        <w:rPr>
          <w:rFonts w:hint="eastAsia" w:cs="Arial" w:asciiTheme="minorEastAsia" w:hAnsiTheme="minorEastAsia" w:eastAsiaTheme="minorEastAsia"/>
          <w:szCs w:val="21"/>
        </w:rPr>
        <w:t>《参展商手册》将于202</w:t>
      </w:r>
      <w:r>
        <w:rPr>
          <w:rFonts w:hint="eastAsia" w:cs="Arial" w:asciiTheme="minorEastAsia" w:hAnsiTheme="minorEastAsia" w:eastAsiaTheme="minorEastAsia"/>
          <w:szCs w:val="21"/>
          <w:lang w:val="en-US" w:eastAsia="zh-CN"/>
        </w:rPr>
        <w:t>4</w:t>
      </w:r>
      <w:r>
        <w:rPr>
          <w:rFonts w:hint="eastAsia" w:cs="Arial" w:asciiTheme="minorEastAsia" w:hAnsiTheme="minorEastAsia" w:eastAsiaTheme="minorEastAsia"/>
          <w:szCs w:val="21"/>
        </w:rPr>
        <w:t>年</w:t>
      </w:r>
      <w:r>
        <w:rPr>
          <w:rFonts w:hint="eastAsia" w:cs="Arial" w:asciiTheme="minorEastAsia" w:hAnsiTheme="minorEastAsia" w:eastAsiaTheme="minorEastAsia"/>
          <w:szCs w:val="21"/>
          <w:lang w:val="en-US" w:eastAsia="zh-CN"/>
        </w:rPr>
        <w:t>8</w:t>
      </w:r>
      <w:r>
        <w:rPr>
          <w:rFonts w:hint="eastAsia" w:cs="Arial" w:asciiTheme="minorEastAsia" w:hAnsiTheme="minorEastAsia" w:eastAsiaTheme="minorEastAsia"/>
          <w:szCs w:val="21"/>
        </w:rPr>
        <w:t>月上传到展会官网，请参展商自行下载。</w:t>
      </w:r>
    </w:p>
    <w:p>
      <w:pPr>
        <w:tabs>
          <w:tab w:val="left" w:pos="9345"/>
        </w:tabs>
        <w:spacing w:line="300" w:lineRule="exact"/>
        <w:ind w:firstLine="1890" w:firstLineChars="900"/>
        <w:rPr>
          <w:rFonts w:cs="Arial" w:asciiTheme="minorEastAsia" w:hAnsiTheme="minorEastAsia" w:eastAsiaTheme="minorEastAsia"/>
          <w:sz w:val="24"/>
        </w:rPr>
      </w:pPr>
      <w:r>
        <w:drawing>
          <wp:anchor distT="0" distB="0" distL="114300" distR="114300" simplePos="0" relativeHeight="251665408" behindDoc="1" locked="0" layoutInCell="1" allowOverlap="1">
            <wp:simplePos x="0" y="0"/>
            <wp:positionH relativeFrom="column">
              <wp:posOffset>-224790</wp:posOffset>
            </wp:positionH>
            <wp:positionV relativeFrom="paragraph">
              <wp:posOffset>57150</wp:posOffset>
            </wp:positionV>
            <wp:extent cx="944245" cy="782320"/>
            <wp:effectExtent l="0" t="0" r="8255" b="5080"/>
            <wp:wrapNone/>
            <wp:docPr id="13"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 descr="D:\Users\王永萍\Desktop\振威LOGO-03(1).jpg振威LOGO-03(1)"/>
                    <pic:cNvPicPr>
                      <a:picLocks noChangeAspect="1"/>
                    </pic:cNvPicPr>
                  </pic:nvPicPr>
                  <pic:blipFill>
                    <a:blip r:embed="rId4"/>
                    <a:srcRect/>
                    <a:stretch>
                      <a:fillRect/>
                    </a:stretch>
                  </pic:blipFill>
                  <pic:spPr>
                    <a:xfrm>
                      <a:off x="0" y="0"/>
                      <a:ext cx="944245" cy="782320"/>
                    </a:xfrm>
                    <a:prstGeom prst="rect">
                      <a:avLst/>
                    </a:prstGeom>
                    <a:noFill/>
                    <a:ln>
                      <a:noFill/>
                    </a:ln>
                  </pic:spPr>
                </pic:pic>
              </a:graphicData>
            </a:graphic>
          </wp:anchor>
        </w:drawing>
      </w:r>
      <w:r>
        <w:rPr>
          <w:rFonts w:cs="Arial" w:asciiTheme="minorEastAsia" w:hAnsiTheme="minorEastAsia" w:eastAsiaTheme="minorEastAsia"/>
          <w:b/>
          <w:bCs/>
          <w:szCs w:val="21"/>
        </w:rPr>
        <mc:AlternateContent>
          <mc:Choice Requires="wps">
            <w:drawing>
              <wp:anchor distT="0" distB="0" distL="114300" distR="114300" simplePos="0" relativeHeight="251662336" behindDoc="0" locked="0" layoutInCell="1" allowOverlap="1">
                <wp:simplePos x="0" y="0"/>
                <wp:positionH relativeFrom="column">
                  <wp:posOffset>838200</wp:posOffset>
                </wp:positionH>
                <wp:positionV relativeFrom="paragraph">
                  <wp:posOffset>86995</wp:posOffset>
                </wp:positionV>
                <wp:extent cx="0" cy="739140"/>
                <wp:effectExtent l="4445" t="0" r="10795" b="7620"/>
                <wp:wrapNone/>
                <wp:docPr id="6" name="Line 5"/>
                <wp:cNvGraphicFramePr/>
                <a:graphic xmlns:a="http://schemas.openxmlformats.org/drawingml/2006/main">
                  <a:graphicData uri="http://schemas.microsoft.com/office/word/2010/wordprocessingShape">
                    <wps:wsp>
                      <wps:cNvCnPr/>
                      <wps:spPr>
                        <a:xfrm>
                          <a:off x="0" y="0"/>
                          <a:ext cx="0" cy="7391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66pt;margin-top:6.85pt;height:58.2pt;width:0pt;z-index:251662336;mso-width-relative:page;mso-height-relative:page;" filled="f" stroked="t" coordsize="21600,21600" o:gfxdata="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&#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QH6o0wAAAAoBAAAPAAAAAAAAAAEAIAAAACIAAABk&#10;cnMvZG93bnJldi54bWxQSwECFAAUAAAACACHTuJALTpFYNIBAADMAwAADgAAAAAAAAABACAAAAAi&#10;AQAAZHJzL2Uyb0RvYy54bWxQSwUGAAAAAAYABgBZAQAAZgUAAAAA&#10;">
                <v:fill on="f" focussize="0,0"/>
                <v:stroke color="#000000" joinstyle="round"/>
                <v:imagedata o:title=""/>
                <o:lock v:ext="edit" aspectratio="f"/>
              </v:line>
            </w:pict>
          </mc:Fallback>
        </mc:AlternateContent>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pPr>
        <w:spacing w:line="300" w:lineRule="exact"/>
        <w:ind w:firstLine="1890" w:firstLineChars="900"/>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pPr>
        <w:tabs>
          <w:tab w:val="left" w:pos="9345"/>
        </w:tabs>
        <w:spacing w:line="300" w:lineRule="exact"/>
        <w:ind w:firstLine="1890" w:firstLineChars="900"/>
        <w:rPr>
          <w:rFonts w:cs="Arial" w:asciiTheme="minorEastAsia" w:hAnsiTheme="minorEastAsia" w:eastAsiaTheme="minorEastAsia"/>
          <w:szCs w:val="21"/>
        </w:rPr>
      </w:pPr>
      <w:r>
        <w:rPr>
          <w:rFonts w:cs="Arial" w:asciiTheme="minorEastAsia" w:hAnsiTheme="minorEastAsia" w:eastAsiaTheme="minorEastAsia"/>
          <w:szCs w:val="21"/>
        </w:rPr>
        <w:t>邮</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编：10</w:t>
      </w:r>
      <w:r>
        <w:rPr>
          <w:rFonts w:hint="eastAsia" w:cs="Arial" w:asciiTheme="minorEastAsia" w:hAnsiTheme="minorEastAsia" w:eastAsiaTheme="minorEastAsia"/>
          <w:szCs w:val="21"/>
        </w:rPr>
        <w:t xml:space="preserve">1111    </w:t>
      </w: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w:t>
      </w:r>
      <w:r>
        <w:rPr>
          <w:rFonts w:hint="eastAsia" w:cs="Arial" w:asciiTheme="minorEastAsia" w:hAnsiTheme="minorEastAsia" w:eastAsiaTheme="minorEastAsia"/>
          <w:szCs w:val="21"/>
        </w:rPr>
        <w:t>010-</w:t>
      </w:r>
      <w:r>
        <w:rPr>
          <w:rFonts w:cs="Arial" w:asciiTheme="minorEastAsia" w:hAnsiTheme="minorEastAsia" w:eastAsiaTheme="minorEastAsia"/>
          <w:szCs w:val="21"/>
        </w:rPr>
        <w:t>5</w:t>
      </w:r>
      <w:r>
        <w:rPr>
          <w:rFonts w:hint="eastAsia" w:cs="Arial" w:asciiTheme="minorEastAsia" w:hAnsiTheme="minorEastAsia" w:eastAsiaTheme="minorEastAsia"/>
          <w:szCs w:val="21"/>
          <w:lang w:val="en-US" w:eastAsia="zh-CN"/>
        </w:rPr>
        <w:t>617</w:t>
      </w:r>
      <w:r>
        <w:rPr>
          <w:rFonts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6968</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 xml:space="preserve">5617 6998    </w:t>
      </w:r>
    </w:p>
    <w:p>
      <w:pPr>
        <w:tabs>
          <w:tab w:val="left" w:pos="9345"/>
        </w:tabs>
        <w:spacing w:line="300" w:lineRule="exact"/>
        <w:ind w:firstLine="1890" w:firstLineChars="900"/>
        <w:rPr>
          <w:rFonts w:hint="eastAsia" w:cs="Arial" w:asciiTheme="minorEastAsia" w:hAnsiTheme="minorEastAsia" w:eastAsiaTheme="minorEastAsia"/>
          <w:szCs w:val="21"/>
        </w:rPr>
      </w:pPr>
      <w:r>
        <w:rPr>
          <w:rFonts w:hint="eastAsia" w:cs="Arial" w:asciiTheme="minorEastAsia" w:hAnsiTheme="minorEastAsia" w:eastAsiaTheme="minorEastAsia"/>
          <w:szCs w:val="21"/>
        </w:rPr>
        <w:t>网  址：</w:t>
      </w:r>
      <w:bookmarkEnd w:id="0"/>
      <w:r>
        <w:rPr>
          <w:rStyle w:val="14"/>
          <w:rFonts w:cs="Arial" w:asciiTheme="minorEastAsia" w:hAnsiTheme="minorEastAsia" w:eastAsiaTheme="minorEastAsia"/>
          <w:szCs w:val="21"/>
        </w:rPr>
        <w:fldChar w:fldCharType="begin"/>
      </w:r>
      <w:r>
        <w:rPr>
          <w:rStyle w:val="14"/>
          <w:rFonts w:cs="Arial" w:asciiTheme="minorEastAsia" w:hAnsiTheme="minorEastAsia" w:eastAsiaTheme="minorEastAsia"/>
          <w:szCs w:val="21"/>
        </w:rPr>
        <w:instrText xml:space="preserve"> HYPERLINK "http://www.cippe.com.cn" </w:instrText>
      </w:r>
      <w:r>
        <w:rPr>
          <w:rStyle w:val="14"/>
          <w:rFonts w:cs="Arial" w:asciiTheme="minorEastAsia" w:hAnsiTheme="minorEastAsia" w:eastAsiaTheme="minorEastAsia"/>
          <w:szCs w:val="21"/>
        </w:rPr>
        <w:fldChar w:fldCharType="separate"/>
      </w:r>
      <w:r>
        <w:rPr>
          <w:rStyle w:val="13"/>
          <w:rFonts w:cs="Arial" w:asciiTheme="minorEastAsia" w:hAnsiTheme="minorEastAsia" w:eastAsiaTheme="minorEastAsia"/>
          <w:szCs w:val="21"/>
        </w:rPr>
        <w:t>w</w:t>
      </w:r>
      <w:bookmarkStart w:id="1" w:name="_Hlt47004875"/>
      <w:bookmarkStart w:id="2" w:name="_Hlt47004876"/>
      <w:r>
        <w:rPr>
          <w:rStyle w:val="13"/>
          <w:rFonts w:cs="Arial" w:asciiTheme="minorEastAsia" w:hAnsiTheme="minorEastAsia" w:eastAsiaTheme="minorEastAsia"/>
          <w:szCs w:val="21"/>
        </w:rPr>
        <w:t>w</w:t>
      </w:r>
      <w:bookmarkEnd w:id="1"/>
      <w:bookmarkEnd w:id="2"/>
      <w:r>
        <w:rPr>
          <w:rStyle w:val="13"/>
          <w:rFonts w:cs="Arial" w:asciiTheme="minorEastAsia" w:hAnsiTheme="minorEastAsia" w:eastAsiaTheme="minorEastAsia"/>
          <w:szCs w:val="21"/>
        </w:rPr>
        <w:t>w.cippe.com.cn</w:t>
      </w:r>
      <w:r>
        <w:rPr>
          <w:rStyle w:val="14"/>
          <w:rFonts w:cs="Arial" w:asciiTheme="minorEastAsia" w:hAnsiTheme="minorEastAsia" w:eastAsiaTheme="minorEastAsia"/>
          <w:szCs w:val="21"/>
        </w:rPr>
        <w:fldChar w:fldCharType="end"/>
      </w:r>
      <w:r>
        <w:rPr>
          <w:rFonts w:hint="eastAsia" w:cs="Arial" w:asciiTheme="minorEastAsia" w:hAnsiTheme="minorEastAsia" w:eastAsiaTheme="minorEastAsia"/>
          <w:szCs w:val="21"/>
        </w:rPr>
        <w:t xml:space="preserve">            邮  箱</w:t>
      </w:r>
      <w:r>
        <w:rPr>
          <w:rFonts w:cs="Arial" w:asciiTheme="minorEastAsia" w:hAnsiTheme="minorEastAsia" w:eastAsiaTheme="minorEastAsia"/>
          <w:szCs w:val="21"/>
        </w:rPr>
        <w:t>：</w:t>
      </w:r>
      <w:r>
        <w:fldChar w:fldCharType="begin"/>
      </w:r>
      <w:r>
        <w:instrText xml:space="preserve"> HYPERLINK "mailto:wenqi@zhenweiexpo.com" </w:instrText>
      </w:r>
      <w:r>
        <w:fldChar w:fldCharType="separate"/>
      </w:r>
      <w:r>
        <w:rPr>
          <w:rFonts w:hint="eastAsia"/>
          <w:lang w:val="en-US" w:eastAsia="zh-CN"/>
        </w:rPr>
        <w:t xml:space="preserve"> cippe</w:t>
      </w:r>
      <w:r>
        <w:rPr>
          <w:rStyle w:val="14"/>
          <w:rFonts w:hint="eastAsia" w:cs="Arial" w:asciiTheme="minorEastAsia" w:hAnsiTheme="minorEastAsia" w:eastAsiaTheme="minorEastAsia"/>
          <w:szCs w:val="21"/>
        </w:rPr>
        <w:t>@zhenweiexpo.com</w:t>
      </w:r>
      <w:r>
        <w:rPr>
          <w:rStyle w:val="14"/>
          <w:rFonts w:hint="eastAsia" w:cs="Arial" w:asciiTheme="minorEastAsia" w:hAnsiTheme="minorEastAsia" w:eastAsiaTheme="minorEastAsia"/>
          <w:szCs w:val="21"/>
        </w:rPr>
        <w:fldChar w:fldCharType="end"/>
      </w:r>
      <w:r>
        <w:rPr>
          <w:rFonts w:hint="eastAsia" w:cs="Arial" w:asciiTheme="minorEastAsia" w:hAnsiTheme="minorEastAsia" w:eastAsiaTheme="minorEastAsia"/>
          <w:szCs w:val="21"/>
        </w:rPr>
        <w:t xml:space="preserve">     </w:t>
      </w:r>
    </w:p>
    <w:p>
      <w:r>
        <w:rPr>
          <w:rFonts w:hint="eastAsia" w:cs="Arial" w:asciiTheme="minorEastAsia" w:hAnsiTheme="minorEastAsia" w:eastAsiaTheme="minorEastAsia"/>
          <w:szCs w:val="21"/>
        </w:rPr>
        <w:br w:type="page"/>
      </w:r>
    </w:p>
    <w:p>
      <w:pPr>
        <w:rPr>
          <w:rFonts w:ascii="Arial" w:hAnsi="Arial" w:cs="Arial"/>
          <w:sz w:val="28"/>
          <w:szCs w:val="28"/>
        </w:rPr>
      </w:pPr>
      <w:r>
        <w:rPr>
          <w:rFonts w:ascii="宋体" w:hAnsi="宋体" w:cs="宋体"/>
          <w:sz w:val="24"/>
        </w:rPr>
        <w:drawing>
          <wp:inline distT="0" distB="0" distL="114300" distR="114300">
            <wp:extent cx="1249045" cy="361315"/>
            <wp:effectExtent l="0" t="0" r="63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249045" cy="361315"/>
                    </a:xfrm>
                    <a:prstGeom prst="rect">
                      <a:avLst/>
                    </a:prstGeom>
                    <a:noFill/>
                    <a:ln w="9525">
                      <a:noFill/>
                    </a:ln>
                  </pic:spPr>
                </pic:pic>
              </a:graphicData>
            </a:graphic>
          </wp:inline>
        </w:drawing>
      </w:r>
    </w:p>
    <w:p>
      <w:pPr>
        <w:spacing w:line="440" w:lineRule="exact"/>
        <w:jc w:val="center"/>
        <w:rPr>
          <w:b/>
        </w:rPr>
      </w:pPr>
      <w:r>
        <w:rPr>
          <w:rFonts w:hint="eastAsia" w:ascii="Arial" w:hAnsi="Arial" w:cs="Arial"/>
          <w:b/>
          <w:sz w:val="28"/>
          <w:szCs w:val="28"/>
        </w:rPr>
        <w:t>202</w:t>
      </w:r>
      <w:r>
        <w:rPr>
          <w:rFonts w:hint="eastAsia" w:ascii="Arial" w:hAnsi="Arial" w:cs="Arial"/>
          <w:b/>
          <w:sz w:val="28"/>
          <w:szCs w:val="28"/>
          <w:lang w:val="en-US" w:eastAsia="zh-CN"/>
        </w:rPr>
        <w:t>4</w:t>
      </w:r>
      <w:r>
        <w:rPr>
          <w:rFonts w:hint="eastAsia" w:ascii="Arial" w:hAnsi="Arial" w:cs="Arial"/>
          <w:b/>
          <w:sz w:val="28"/>
          <w:szCs w:val="28"/>
        </w:rPr>
        <w:t xml:space="preserve">成都国际石油石化技术装备展览会 </w:t>
      </w:r>
      <w:r>
        <w:rPr>
          <w:rFonts w:hint="eastAsia" w:ascii="Arial" w:hAnsi="Arial" w:cs="Arial"/>
          <w:sz w:val="28"/>
          <w:szCs w:val="28"/>
        </w:rPr>
        <w:t xml:space="preserve">                                                       </w:t>
      </w:r>
      <w:r>
        <w:rPr>
          <w:rFonts w:hint="eastAsia" w:ascii="Arial" w:hAnsi="Arial" w:cs="Arial"/>
          <w:b/>
          <w:sz w:val="28"/>
          <w:szCs w:val="28"/>
        </w:rPr>
        <w:t>参展申请表</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12065</wp:posOffset>
                </wp:positionV>
                <wp:extent cx="6324600" cy="0"/>
                <wp:effectExtent l="0" t="0" r="0" b="0"/>
                <wp:wrapNone/>
                <wp:docPr id="7" name="直线 42"/>
                <wp:cNvGraphicFramePr/>
                <a:graphic xmlns:a="http://schemas.openxmlformats.org/drawingml/2006/main">
                  <a:graphicData uri="http://schemas.microsoft.com/office/word/2010/wordprocessingShape">
                    <wps:wsp>
                      <wps:cNvCnPr/>
                      <wps:spPr>
                        <a:xfrm>
                          <a:off x="0" y="0"/>
                          <a:ext cx="6324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pt;margin-top:0.95pt;height:0pt;width:498pt;z-index:251659264;mso-width-relative:page;mso-height-relative:page;" filled="f" stroked="t" coordsize="21600,21600" o:gfxdata="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lBHndEAAAAEAQAADwAAAAAA&#10;AAABACAAAAAiAAAAZHJzL2Rvd25yZXYueG1sUEsBAhQAFAAAAAgAh07iQFn//8bhAQAA0AMAAA4A&#10;AAAAAAAAAQAgAAAAIAEAAGRycy9lMm9Eb2MueG1sUEsFBgAAAAAGAAYAWQEAAHM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时间：202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13</w:t>
      </w:r>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szCs w:val="21"/>
        </w:rPr>
        <w:t>成都世纪城新国际会展</w:t>
      </w:r>
      <w:r>
        <w:rPr>
          <w:rFonts w:hint="eastAsia" w:asciiTheme="minorEastAsia" w:hAnsiTheme="minorEastAsia" w:eastAsiaTheme="minorEastAsia" w:cstheme="minorEastAsia"/>
          <w:szCs w:val="21"/>
          <w:lang w:val="en-US" w:eastAsia="zh-CN"/>
        </w:rPr>
        <w:t>中心</w:t>
      </w:r>
      <w:r>
        <w:rPr>
          <w:rFonts w:hint="eastAsia" w:asciiTheme="minorEastAsia" w:hAnsiTheme="minorEastAsia" w:eastAsiaTheme="minorEastAsia" w:cstheme="minorEastAsia"/>
          <w:szCs w:val="21"/>
        </w:rPr>
        <w:t>(成都市天府大道中段1号</w:t>
      </w:r>
      <w:r>
        <w:rPr>
          <w:rFonts w:hint="eastAsia" w:ascii="微软雅黑" w:hAnsi="微软雅黑" w:eastAsia="微软雅黑" w:cs="微软雅黑"/>
          <w:color w:val="333333"/>
          <w:sz w:val="19"/>
          <w:szCs w:val="19"/>
          <w:shd w:val="clear" w:color="auto" w:fill="FFFFFF"/>
        </w:rPr>
        <w:t>)</w:t>
      </w:r>
    </w:p>
    <w:p>
      <w:pPr>
        <w:keepNext w:val="0"/>
        <w:keepLines w:val="0"/>
        <w:pageBreakBefore w:val="0"/>
        <w:widowControl w:val="0"/>
        <w:kinsoku/>
        <w:wordWrap/>
        <w:overflowPunct/>
        <w:topLinePunct w:val="0"/>
        <w:autoSpaceDE/>
        <w:autoSpaceDN/>
        <w:bidi w:val="0"/>
        <w:adjustRightInd/>
        <w:snapToGrid/>
        <w:spacing w:line="340" w:lineRule="exact"/>
        <w:ind w:hanging="126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ind w:hanging="1260"/>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　　　      详细地址：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邮编：</w:t>
      </w:r>
      <w:r>
        <w:rPr>
          <w:rFonts w:hint="eastAsia" w:asciiTheme="minorEastAsia" w:hAnsiTheme="minorEastAsia" w:eastAsiaTheme="minorEastAsia" w:cstheme="minorEastAsia"/>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标准展位：国际标展：21,800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bCs/>
        </w:rPr>
        <w:t xml:space="preserve">             国内标展：1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；豪华标展：</w:t>
      </w:r>
      <w:r>
        <w:rPr>
          <w:rFonts w:hint="eastAsia" w:asciiTheme="minorEastAsia" w:hAnsiTheme="minorEastAsia" w:eastAsiaTheme="minorEastAsia" w:cstheme="minorEastAsia"/>
          <w:bCs/>
        </w:rPr>
        <w:t>16,800元/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空 场 地：国际展区：2,180元/平米；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pPr>
        <w:keepNext w:val="0"/>
        <w:keepLines w:val="0"/>
        <w:pageBreakBefore w:val="0"/>
        <w:widowControl w:val="0"/>
        <w:kinsoku/>
        <w:wordWrap/>
        <w:overflowPunct/>
        <w:topLinePunct w:val="0"/>
        <w:autoSpaceDE/>
        <w:autoSpaceDN/>
        <w:bidi w:val="0"/>
        <w:adjustRightInd/>
        <w:snapToGrid/>
        <w:spacing w:line="340" w:lineRule="exact"/>
        <w:ind w:firstLine="315" w:firstLineChars="15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封  面  ￥25,000元</w:t>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二  ￥15,000元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扉    页  ￥18,000元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底  ￥20,000元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三  ￥15,000元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彩色内页  ￥8,000元</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技术讲座：15,000元/场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会务费：1,200元/人（包括展会资料、午餐、水、答谢晚宴、礼品等）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媒体宣传：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展前宣传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展中宣传 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展后宣传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次，费用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6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特别约定：1.报名后十个工作日之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2024年石油展搭建质量，请各参展商选择主办方指定搭建商搭建贵司展台，除指定搭建商外不允许任何搭建公司进入场馆。</w:t>
      </w:r>
    </w:p>
    <w:p>
      <w:pPr>
        <w:pStyle w:val="2"/>
        <w:keepNext w:val="0"/>
        <w:keepLines w:val="0"/>
        <w:pageBreakBefore w:val="0"/>
        <w:widowControl w:val="0"/>
        <w:numPr>
          <w:numId w:val="0"/>
        </w:numPr>
        <w:kinsoku/>
        <w:wordWrap/>
        <w:overflowPunct/>
        <w:topLinePunct w:val="0"/>
        <w:autoSpaceDE/>
        <w:autoSpaceDN/>
        <w:bidi w:val="0"/>
        <w:adjustRightInd/>
        <w:snapToGrid/>
        <w:spacing w:line="340" w:lineRule="exact"/>
        <w:ind w:leftChars="0"/>
        <w:textAlignment w:val="auto"/>
        <w:rPr>
          <w:rFonts w:hint="default" w:asciiTheme="minorEastAsia" w:hAnsiTheme="minorEastAsia" w:eastAsiaTheme="minorEastAsia" w:cstheme="minorEastAsia"/>
          <w:b/>
          <w:bCs/>
          <w:kern w:val="2"/>
          <w:sz w:val="21"/>
          <w:szCs w:val="24"/>
          <w:lang w:val="en-US" w:eastAsia="zh-CN" w:bidi="ar-SA"/>
        </w:rPr>
      </w:pPr>
      <w:bookmarkStart w:id="4" w:name="_GoBack"/>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p>
    <w:bookmarkEnd w:id="4"/>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6432" behindDoc="0" locked="0" layoutInCell="1" allowOverlap="1">
                <wp:simplePos x="0" y="0"/>
                <wp:positionH relativeFrom="column">
                  <wp:posOffset>4152900</wp:posOffset>
                </wp:positionH>
                <wp:positionV relativeFrom="paragraph">
                  <wp:posOffset>158750</wp:posOffset>
                </wp:positionV>
                <wp:extent cx="2171700" cy="5080"/>
                <wp:effectExtent l="0" t="4445" r="0" b="9525"/>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27pt;margin-top:12.5pt;height:0.4pt;width:171pt;z-index:251666432;mso-width-relative:page;mso-height-relative:page;" filled="f" stroked="t" coordsize="21600,21600" o:gfxdata="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iG&#10;ptcAAAAJAQAADwAAAAAAAAABACAAAAAiAAAAZHJzL2Rvd25yZXYueG1sUEsBAhQAFAAAAAgAh07i&#10;QFRki3zqAQAA3QMAAA4AAAAAAAAAAQAgAAAAJg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pPr>
        <w:keepNext w:val="0"/>
        <w:keepLines w:val="0"/>
        <w:pageBreakBefore w:val="0"/>
        <w:widowControl w:val="0"/>
        <w:kinsoku/>
        <w:wordWrap/>
        <w:overflowPunct/>
        <w:topLinePunct w:val="0"/>
        <w:autoSpaceDE/>
        <w:autoSpaceDN/>
        <w:bidi w:val="0"/>
        <w:adjustRightInd/>
        <w:snapToGrid/>
        <w:spacing w:line="340" w:lineRule="exact"/>
        <w:ind w:firstLine="840" w:firstLineChars="400"/>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企业大道III13号楼振威展览大厦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参展单位印鉴及负责人签名</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E-mail：</w:t>
      </w:r>
      <w:bookmarkStart w:id="3" w:name="OLE_LINK1"/>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   月   日</w:t>
      </w:r>
      <w:bookmarkEnd w:id="3"/>
    </w:p>
    <w:p>
      <w:pPr>
        <w:keepNext w:val="0"/>
        <w:keepLines w:val="0"/>
        <w:pageBreakBefore w:val="0"/>
        <w:widowControl w:val="0"/>
        <w:kinsoku/>
        <w:wordWrap/>
        <w:overflowPunct/>
        <w:topLinePunct w:val="0"/>
        <w:autoSpaceDE/>
        <w:autoSpaceDN/>
        <w:bidi w:val="0"/>
        <w:adjustRightInd/>
        <w:snapToGrid/>
        <w:spacing w:line="340" w:lineRule="exact"/>
        <w:textAlignment w:val="auto"/>
      </w:pPr>
      <w:r>
        <w:rPr>
          <w:rFonts w:hint="eastAsia" w:asciiTheme="minorEastAsia" w:hAnsiTheme="minorEastAsia" w:eastAsiaTheme="minorEastAsia" w:cstheme="minorEastAsia"/>
        </w:rPr>
        <w:t>联系人：</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br w:type="page"/>
      </w:r>
    </w:p>
    <w:p>
      <w:pPr>
        <w:pStyle w:val="8"/>
      </w:pPr>
      <w:r>
        <w:rPr>
          <w:rFonts w:hint="eastAsia" w:asciiTheme="minorEastAsia" w:hAnsiTheme="minorEastAsia" w:eastAsiaTheme="minorEastAsia" w:cstheme="minorEastAsia"/>
          <w:szCs w:val="21"/>
        </w:rPr>
        <w:t xml:space="preserve">       </w:t>
      </w:r>
      <w:r>
        <w:t>cippe20</w:t>
      </w:r>
      <w:r>
        <w:rPr>
          <w:rFonts w:hint="eastAsia"/>
          <w:lang w:val="en-US" w:eastAsia="zh-CN"/>
        </w:rPr>
        <w:t>24成都展</w:t>
      </w:r>
      <w:r>
        <w:rPr>
          <w:rFonts w:hint="eastAsia"/>
        </w:rPr>
        <w:t>特邀观众申请表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998"/>
        <w:gridCol w:w="1458"/>
        <w:gridCol w:w="245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vMerge w:val="restart"/>
            <w:tcBorders>
              <w:top w:val="single" w:color="auto" w:sz="4" w:space="0"/>
              <w:left w:val="single" w:color="auto" w:sz="4" w:space="0"/>
              <w:right w:val="single" w:color="auto" w:sz="4" w:space="0"/>
            </w:tcBorders>
            <w:noWrap w:val="0"/>
            <w:vAlign w:val="center"/>
          </w:tcPr>
          <w:p>
            <w:pPr>
              <w:jc w:val="center"/>
              <w:rPr>
                <w:color w:val="auto"/>
                <w:sz w:val="28"/>
                <w:szCs w:val="28"/>
              </w:rPr>
            </w:pPr>
            <w:r>
              <w:rPr>
                <w:rFonts w:hint="eastAsia"/>
                <w:color w:val="auto"/>
                <w:sz w:val="28"/>
                <w:szCs w:val="28"/>
              </w:rPr>
              <w:t>展商名称</w:t>
            </w:r>
          </w:p>
        </w:tc>
        <w:tc>
          <w:tcPr>
            <w:tcW w:w="998"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r>
              <w:rPr>
                <w:rFonts w:hint="eastAsia"/>
                <w:color w:val="auto"/>
                <w:sz w:val="28"/>
                <w:szCs w:val="28"/>
                <w:lang w:eastAsia="zh-CN"/>
              </w:rPr>
              <w:t>中文</w:t>
            </w:r>
          </w:p>
        </w:tc>
        <w:tc>
          <w:tcPr>
            <w:tcW w:w="6372" w:type="dxa"/>
            <w:gridSpan w:val="3"/>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vMerge w:val="continue"/>
            <w:tcBorders>
              <w:left w:val="single" w:color="auto" w:sz="4" w:space="0"/>
              <w:bottom w:val="single" w:color="auto" w:sz="4" w:space="0"/>
              <w:right w:val="single" w:color="auto" w:sz="4" w:space="0"/>
            </w:tcBorders>
            <w:noWrap w:val="0"/>
            <w:vAlign w:val="top"/>
          </w:tcPr>
          <w:p>
            <w:pPr>
              <w:jc w:val="center"/>
              <w:rPr>
                <w:color w:val="auto"/>
                <w:sz w:val="28"/>
                <w:szCs w:val="28"/>
              </w:rPr>
            </w:pPr>
          </w:p>
        </w:tc>
        <w:tc>
          <w:tcPr>
            <w:tcW w:w="998"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r>
              <w:rPr>
                <w:rFonts w:hint="eastAsia"/>
                <w:color w:val="auto"/>
                <w:sz w:val="28"/>
                <w:szCs w:val="28"/>
                <w:lang w:eastAsia="zh-CN"/>
              </w:rPr>
              <w:t>英文</w:t>
            </w:r>
          </w:p>
        </w:tc>
        <w:tc>
          <w:tcPr>
            <w:tcW w:w="6372" w:type="dxa"/>
            <w:gridSpan w:val="3"/>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eastAsia="宋体"/>
                <w:color w:val="auto"/>
                <w:sz w:val="28"/>
                <w:szCs w:val="28"/>
                <w:lang w:eastAsia="zh-CN"/>
              </w:rPr>
            </w:pPr>
            <w:r>
              <w:rPr>
                <w:rFonts w:hint="eastAsia"/>
                <w:color w:val="auto"/>
                <w:sz w:val="28"/>
                <w:szCs w:val="28"/>
                <w:lang w:eastAsia="zh-CN"/>
              </w:rPr>
              <w:t>公司官网</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25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 w:val="28"/>
                <w:szCs w:val="28"/>
              </w:rPr>
            </w:pPr>
          </w:p>
          <w:p>
            <w:pPr>
              <w:jc w:val="center"/>
              <w:rPr>
                <w:color w:val="auto"/>
                <w:sz w:val="28"/>
                <w:szCs w:val="28"/>
              </w:rPr>
            </w:pPr>
            <w:r>
              <w:rPr>
                <w:rFonts w:hint="eastAsia"/>
                <w:color w:val="auto"/>
                <w:sz w:val="28"/>
                <w:szCs w:val="28"/>
              </w:rPr>
              <w:t>主营产品、技术</w:t>
            </w:r>
          </w:p>
          <w:p>
            <w:pPr>
              <w:jc w:val="center"/>
              <w:rPr>
                <w:color w:val="auto"/>
                <w:sz w:val="24"/>
                <w:szCs w:val="24"/>
              </w:rPr>
            </w:pPr>
            <w:r>
              <w:rPr>
                <w:rFonts w:hint="eastAsia"/>
                <w:color w:val="auto"/>
                <w:sz w:val="24"/>
                <w:szCs w:val="24"/>
              </w:rPr>
              <w:t>（中、英文）</w:t>
            </w:r>
          </w:p>
          <w:p>
            <w:pPr>
              <w:jc w:val="center"/>
              <w:rPr>
                <w:color w:val="auto"/>
                <w:sz w:val="28"/>
                <w:szCs w:val="28"/>
              </w:rPr>
            </w:pP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4"/>
                <w:szCs w:val="24"/>
                <w:lang w:eastAsia="zh-CN"/>
              </w:rPr>
            </w:pPr>
            <w:r>
              <w:rPr>
                <w:rFonts w:hint="eastAsia"/>
                <w:color w:val="auto"/>
                <w:sz w:val="28"/>
                <w:szCs w:val="28"/>
              </w:rPr>
              <w:t>计划展出</w:t>
            </w:r>
            <w:r>
              <w:rPr>
                <w:rFonts w:hint="eastAsia"/>
                <w:color w:val="auto"/>
                <w:sz w:val="28"/>
                <w:szCs w:val="28"/>
                <w:lang w:eastAsia="zh-CN"/>
              </w:rPr>
              <w:t>的</w:t>
            </w:r>
            <w:r>
              <w:rPr>
                <w:rFonts w:hint="eastAsia"/>
                <w:color w:val="auto"/>
                <w:sz w:val="28"/>
                <w:szCs w:val="28"/>
              </w:rPr>
              <w:t>产品</w:t>
            </w:r>
            <w:r>
              <w:rPr>
                <w:rFonts w:hint="eastAsia"/>
                <w:color w:val="auto"/>
                <w:sz w:val="28"/>
                <w:szCs w:val="28"/>
                <w:lang w:eastAsia="zh-CN"/>
              </w:rPr>
              <w:t>及</w:t>
            </w:r>
            <w:r>
              <w:rPr>
                <w:rFonts w:hint="eastAsia"/>
                <w:color w:val="auto"/>
                <w:sz w:val="28"/>
                <w:szCs w:val="28"/>
              </w:rPr>
              <w:t>技术</w:t>
            </w:r>
            <w:r>
              <w:rPr>
                <w:rFonts w:hint="eastAsia"/>
                <w:color w:val="auto"/>
                <w:sz w:val="24"/>
                <w:szCs w:val="24"/>
              </w:rPr>
              <w:t>（中、英文）</w:t>
            </w:r>
          </w:p>
          <w:p>
            <w:pPr>
              <w:rPr>
                <w:color w:val="auto"/>
                <w:sz w:val="28"/>
                <w:szCs w:val="28"/>
              </w:rPr>
            </w:pPr>
            <w:r>
              <w:rPr>
                <w:rFonts w:hint="eastAsia"/>
                <w:color w:val="auto"/>
                <w:sz w:val="18"/>
                <w:szCs w:val="18"/>
                <w:lang w:val="en-US" w:eastAsia="zh-CN"/>
              </w:rPr>
              <w:t>(</w:t>
            </w:r>
            <w:r>
              <w:rPr>
                <w:rFonts w:hint="eastAsia"/>
                <w:color w:val="auto"/>
                <w:sz w:val="18"/>
                <w:szCs w:val="18"/>
                <w:lang w:eastAsia="zh-CN"/>
              </w:rPr>
              <w:t>请附上中英产品介绍</w:t>
            </w:r>
            <w:r>
              <w:rPr>
                <w:rFonts w:hint="eastAsia"/>
                <w:color w:val="auto"/>
                <w:sz w:val="18"/>
                <w:szCs w:val="18"/>
                <w:lang w:val="en-US" w:eastAsia="zh-CN"/>
              </w:rPr>
              <w:t>+图片</w:t>
            </w:r>
            <w:r>
              <w:rPr>
                <w:rFonts w:hint="eastAsia"/>
                <w:color w:val="auto"/>
                <w:sz w:val="18"/>
                <w:szCs w:val="18"/>
                <w:lang w:eastAsia="zh-CN"/>
              </w:rPr>
              <w:t>）</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center"/>
          </w:tcPr>
          <w:p>
            <w:pPr>
              <w:ind w:firstLine="280" w:firstLineChars="100"/>
              <w:jc w:val="both"/>
              <w:rPr>
                <w:rFonts w:hint="eastAsia"/>
                <w:color w:val="auto"/>
                <w:sz w:val="28"/>
                <w:szCs w:val="28"/>
              </w:rPr>
            </w:pPr>
            <w:r>
              <w:rPr>
                <w:rFonts w:hint="eastAsia"/>
                <w:color w:val="auto"/>
                <w:sz w:val="28"/>
                <w:szCs w:val="28"/>
              </w:rPr>
              <w:t>希望见到</w:t>
            </w:r>
            <w:r>
              <w:rPr>
                <w:rFonts w:hint="eastAsia"/>
                <w:color w:val="auto"/>
                <w:sz w:val="28"/>
                <w:szCs w:val="28"/>
                <w:lang w:eastAsia="zh-CN"/>
              </w:rPr>
              <w:t>的</w:t>
            </w:r>
            <w:r>
              <w:rPr>
                <w:rFonts w:hint="eastAsia"/>
                <w:color w:val="auto"/>
                <w:sz w:val="28"/>
                <w:szCs w:val="28"/>
              </w:rPr>
              <w:t>专业</w:t>
            </w:r>
          </w:p>
          <w:p>
            <w:pPr>
              <w:jc w:val="center"/>
              <w:rPr>
                <w:color w:val="auto"/>
                <w:sz w:val="28"/>
                <w:szCs w:val="28"/>
              </w:rPr>
            </w:pPr>
            <w:r>
              <w:rPr>
                <w:rFonts w:hint="eastAsia"/>
                <w:color w:val="auto"/>
                <w:sz w:val="28"/>
                <w:szCs w:val="28"/>
              </w:rPr>
              <w:t>观众类型</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auto"/>
                <w:sz w:val="28"/>
                <w:szCs w:val="28"/>
                <w:lang w:eastAsia="zh-CN"/>
              </w:rPr>
            </w:pPr>
            <w:r>
              <w:rPr>
                <w:rFonts w:hint="eastAsia"/>
                <w:color w:val="auto"/>
                <w:sz w:val="28"/>
                <w:szCs w:val="28"/>
              </w:rPr>
              <w:t>希望见到的</w:t>
            </w:r>
            <w:r>
              <w:rPr>
                <w:rFonts w:hint="eastAsia"/>
                <w:color w:val="auto"/>
                <w:sz w:val="28"/>
                <w:szCs w:val="28"/>
                <w:lang w:eastAsia="zh-CN"/>
              </w:rPr>
              <w:t>未建立合作新企业名称</w:t>
            </w:r>
          </w:p>
          <w:p>
            <w:pPr>
              <w:rPr>
                <w:color w:val="auto"/>
                <w:sz w:val="28"/>
                <w:szCs w:val="28"/>
              </w:rPr>
            </w:pPr>
            <w:r>
              <w:rPr>
                <w:rFonts w:hint="eastAsia"/>
                <w:color w:val="auto"/>
                <w:sz w:val="18"/>
                <w:szCs w:val="18"/>
                <w:lang w:val="en-US" w:eastAsia="zh-CN"/>
              </w:rPr>
              <w:t>(具体公司名称列举)</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555" w:type="dxa"/>
            <w:vMerge w:val="restart"/>
            <w:tcBorders>
              <w:top w:val="single" w:color="auto" w:sz="4" w:space="0"/>
              <w:left w:val="single" w:color="auto" w:sz="4" w:space="0"/>
              <w:right w:val="single" w:color="auto" w:sz="4" w:space="0"/>
            </w:tcBorders>
            <w:noWrap w:val="0"/>
            <w:vAlign w:val="center"/>
          </w:tcPr>
          <w:p>
            <w:pPr>
              <w:jc w:val="left"/>
              <w:rPr>
                <w:rFonts w:hint="eastAsia" w:eastAsia="宋体"/>
                <w:color w:val="auto"/>
                <w:sz w:val="28"/>
                <w:szCs w:val="28"/>
                <w:lang w:eastAsia="zh-CN"/>
              </w:rPr>
            </w:pPr>
            <w:r>
              <w:rPr>
                <w:rFonts w:hint="eastAsia"/>
                <w:color w:val="auto"/>
                <w:sz w:val="28"/>
                <w:szCs w:val="28"/>
                <w:lang w:eastAsia="zh-CN"/>
              </w:rPr>
              <w:t>希望见到的已建立合作关系的企业名称</w:t>
            </w: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r>
              <w:rPr>
                <w:rFonts w:hint="eastAsia"/>
                <w:color w:val="auto"/>
                <w:sz w:val="28"/>
                <w:szCs w:val="28"/>
                <w:lang w:eastAsia="zh-CN"/>
              </w:rPr>
              <w:t>公司名称</w:t>
            </w:r>
          </w:p>
        </w:tc>
        <w:tc>
          <w:tcPr>
            <w:tcW w:w="2456"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r>
              <w:rPr>
                <w:rFonts w:hint="eastAsia"/>
                <w:color w:val="auto"/>
                <w:sz w:val="28"/>
                <w:szCs w:val="28"/>
                <w:lang w:eastAsia="zh-CN"/>
              </w:rPr>
              <w:t>联系人</w:t>
            </w:r>
          </w:p>
        </w:tc>
        <w:tc>
          <w:tcPr>
            <w:tcW w:w="2458"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color w:val="auto"/>
                <w:sz w:val="28"/>
                <w:szCs w:val="28"/>
                <w:lang w:eastAsia="zh-CN"/>
              </w:rPr>
            </w:pPr>
            <w:r>
              <w:rPr>
                <w:rFonts w:hint="eastAsia"/>
                <w:color w:val="auto"/>
                <w:sz w:val="28"/>
                <w:szCs w:val="28"/>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55" w:type="dxa"/>
            <w:vMerge w:val="continue"/>
            <w:tcBorders>
              <w:left w:val="single" w:color="auto" w:sz="4" w:space="0"/>
              <w:right w:val="single" w:color="auto" w:sz="4" w:space="0"/>
            </w:tcBorders>
            <w:noWrap w:val="0"/>
            <w:vAlign w:val="top"/>
          </w:tc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tc>
        <w:tc>
          <w:tcPr>
            <w:tcW w:w="2456" w:type="dxa"/>
            <w:tcBorders>
              <w:top w:val="single" w:color="auto" w:sz="4" w:space="0"/>
              <w:left w:val="single" w:color="auto" w:sz="4" w:space="0"/>
              <w:bottom w:val="single" w:color="auto" w:sz="4" w:space="0"/>
              <w:right w:val="single" w:color="auto" w:sz="4" w:space="0"/>
            </w:tcBorders>
            <w:noWrap w:val="0"/>
            <w:vAlign w:val="top"/>
          </w:tcPr>
          <w:p/>
        </w:tc>
        <w:tc>
          <w:tcPr>
            <w:tcW w:w="2458"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555" w:type="dxa"/>
            <w:vMerge w:val="continue"/>
            <w:tcBorders>
              <w:left w:val="single" w:color="auto" w:sz="4" w:space="0"/>
              <w:right w:val="single" w:color="auto" w:sz="4" w:space="0"/>
            </w:tcBorders>
            <w:noWrap w:val="0"/>
            <w:vAlign w:val="top"/>
          </w:tcPr>
          <w:p>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555" w:type="dxa"/>
            <w:vMerge w:val="continue"/>
            <w:tcBorders>
              <w:left w:val="single" w:color="auto" w:sz="4" w:space="0"/>
              <w:right w:val="single" w:color="auto" w:sz="4" w:space="0"/>
            </w:tcBorders>
            <w:noWrap w:val="0"/>
            <w:vAlign w:val="top"/>
          </w:tcPr>
          <w:p>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55" w:type="dxa"/>
            <w:vMerge w:val="continue"/>
            <w:tcBorders>
              <w:left w:val="single" w:color="auto" w:sz="4" w:space="0"/>
              <w:bottom w:val="single" w:color="auto" w:sz="4" w:space="0"/>
              <w:right w:val="single" w:color="auto" w:sz="4" w:space="0"/>
            </w:tcBorders>
            <w:noWrap w:val="0"/>
            <w:vAlign w:val="top"/>
          </w:tcPr>
          <w:p>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pPr>
              <w:rPr>
                <w:color w:val="auto"/>
                <w:sz w:val="28"/>
                <w:szCs w:val="28"/>
              </w:rPr>
            </w:pPr>
          </w:p>
        </w:tc>
      </w:tr>
    </w:tbl>
    <w:p/>
    <w:p>
      <w:pPr>
        <w:spacing w:line="360" w:lineRule="exact"/>
      </w:pPr>
      <w:r>
        <w:rPr>
          <w:rFonts w:hint="eastAsia" w:asciiTheme="minorEastAsia" w:hAnsiTheme="minorEastAsia" w:eastAsiaTheme="minorEastAsia" w:cstheme="minorEastAsia"/>
          <w:szCs w:val="21"/>
        </w:rPr>
        <w:t xml:space="preserve">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74C95135"/>
    <w:rsid w:val="00192989"/>
    <w:rsid w:val="00333C4A"/>
    <w:rsid w:val="003C6F61"/>
    <w:rsid w:val="00426A2E"/>
    <w:rsid w:val="004672B9"/>
    <w:rsid w:val="00482FBF"/>
    <w:rsid w:val="00681B68"/>
    <w:rsid w:val="006F0531"/>
    <w:rsid w:val="00721EA5"/>
    <w:rsid w:val="00753807"/>
    <w:rsid w:val="00757853"/>
    <w:rsid w:val="00841D88"/>
    <w:rsid w:val="00857BB5"/>
    <w:rsid w:val="0089300C"/>
    <w:rsid w:val="00927472"/>
    <w:rsid w:val="009C17BB"/>
    <w:rsid w:val="00A6115E"/>
    <w:rsid w:val="00B707F6"/>
    <w:rsid w:val="00B72BA9"/>
    <w:rsid w:val="00C33651"/>
    <w:rsid w:val="00C34EB2"/>
    <w:rsid w:val="00CB1EB4"/>
    <w:rsid w:val="00D15D18"/>
    <w:rsid w:val="00F62FAF"/>
    <w:rsid w:val="00FA5180"/>
    <w:rsid w:val="00FE47AA"/>
    <w:rsid w:val="01802C9E"/>
    <w:rsid w:val="019D73AC"/>
    <w:rsid w:val="020E6BA6"/>
    <w:rsid w:val="03D1765C"/>
    <w:rsid w:val="08071A24"/>
    <w:rsid w:val="08DE69B1"/>
    <w:rsid w:val="090B5543"/>
    <w:rsid w:val="09DF42DA"/>
    <w:rsid w:val="0A9A0A9B"/>
    <w:rsid w:val="0AF02A48"/>
    <w:rsid w:val="0BFC1FF7"/>
    <w:rsid w:val="0C1F06DF"/>
    <w:rsid w:val="0E700780"/>
    <w:rsid w:val="0F16079E"/>
    <w:rsid w:val="10D231E8"/>
    <w:rsid w:val="127777A6"/>
    <w:rsid w:val="14AF76CB"/>
    <w:rsid w:val="1881137E"/>
    <w:rsid w:val="18EB0ED0"/>
    <w:rsid w:val="18F7519C"/>
    <w:rsid w:val="1AA2382E"/>
    <w:rsid w:val="1C3668D8"/>
    <w:rsid w:val="1C894A0D"/>
    <w:rsid w:val="1D3C5874"/>
    <w:rsid w:val="20404C5A"/>
    <w:rsid w:val="20CC33B3"/>
    <w:rsid w:val="22361730"/>
    <w:rsid w:val="229037AB"/>
    <w:rsid w:val="239B30C1"/>
    <w:rsid w:val="280A4B32"/>
    <w:rsid w:val="2BA656C9"/>
    <w:rsid w:val="2BD6074F"/>
    <w:rsid w:val="2BDF21EC"/>
    <w:rsid w:val="2C3C60A9"/>
    <w:rsid w:val="2EEE0998"/>
    <w:rsid w:val="2FA774C5"/>
    <w:rsid w:val="304E7940"/>
    <w:rsid w:val="31EC5663"/>
    <w:rsid w:val="34394463"/>
    <w:rsid w:val="34425A0E"/>
    <w:rsid w:val="355552CD"/>
    <w:rsid w:val="37DC60C0"/>
    <w:rsid w:val="38AB2599"/>
    <w:rsid w:val="38D8249D"/>
    <w:rsid w:val="3A0948D8"/>
    <w:rsid w:val="3A465B2C"/>
    <w:rsid w:val="3EA021CF"/>
    <w:rsid w:val="40F155F8"/>
    <w:rsid w:val="45227235"/>
    <w:rsid w:val="46F30DEA"/>
    <w:rsid w:val="4B427C4A"/>
    <w:rsid w:val="4BC27AA2"/>
    <w:rsid w:val="4DA1334D"/>
    <w:rsid w:val="4E374775"/>
    <w:rsid w:val="4F610FE6"/>
    <w:rsid w:val="506E0191"/>
    <w:rsid w:val="57DB745C"/>
    <w:rsid w:val="58773629"/>
    <w:rsid w:val="59017307"/>
    <w:rsid w:val="598826B3"/>
    <w:rsid w:val="5A981634"/>
    <w:rsid w:val="5D1A6C78"/>
    <w:rsid w:val="5D947479"/>
    <w:rsid w:val="5DF474C9"/>
    <w:rsid w:val="5EC073AC"/>
    <w:rsid w:val="5EE82CC3"/>
    <w:rsid w:val="5F675AEC"/>
    <w:rsid w:val="61C176C2"/>
    <w:rsid w:val="61DB4C28"/>
    <w:rsid w:val="63D31681"/>
    <w:rsid w:val="663B67EC"/>
    <w:rsid w:val="689302B1"/>
    <w:rsid w:val="68DB3760"/>
    <w:rsid w:val="6A5A06B4"/>
    <w:rsid w:val="6B34522A"/>
    <w:rsid w:val="6BD05342"/>
    <w:rsid w:val="6C1D408F"/>
    <w:rsid w:val="6CD53470"/>
    <w:rsid w:val="6D8141AA"/>
    <w:rsid w:val="6F0223F6"/>
    <w:rsid w:val="714A76D4"/>
    <w:rsid w:val="73C3376E"/>
    <w:rsid w:val="745A5E80"/>
    <w:rsid w:val="74940C67"/>
    <w:rsid w:val="74C95135"/>
    <w:rsid w:val="74DB6FC6"/>
    <w:rsid w:val="7829772A"/>
    <w:rsid w:val="78680440"/>
    <w:rsid w:val="795409C4"/>
    <w:rsid w:val="79A42B6C"/>
    <w:rsid w:val="7C4A4A2C"/>
    <w:rsid w:val="7CA7603C"/>
    <w:rsid w:val="7D1F7C67"/>
    <w:rsid w:val="7D6C2781"/>
    <w:rsid w:val="7F390D88"/>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semiHidden/>
    <w:unhideWhenUsed/>
    <w:qFormat/>
    <w:uiPriority w:val="99"/>
    <w:pPr>
      <w:ind w:firstLine="420" w:firstLineChars="100"/>
    </w:pPr>
  </w:style>
  <w:style w:type="paragraph" w:styleId="3">
    <w:name w:val="Body Text"/>
    <w:basedOn w:val="1"/>
    <w:autoRedefine/>
    <w:qFormat/>
    <w:uiPriority w:val="0"/>
    <w:rPr>
      <w:rFonts w:eastAsia="黑体"/>
      <w:sz w:val="28"/>
      <w:szCs w:val="20"/>
    </w:rPr>
  </w:style>
  <w:style w:type="paragraph" w:styleId="4">
    <w:name w:val="Body Text Indent"/>
    <w:basedOn w:val="1"/>
    <w:autoRedefine/>
    <w:qFormat/>
    <w:uiPriority w:val="0"/>
    <w:pPr>
      <w:spacing w:line="500" w:lineRule="exact"/>
      <w:ind w:firstLine="480"/>
    </w:pPr>
    <w:rPr>
      <w:rFonts w:ascii="仿宋_GB2312" w:eastAsia="方正书宋简体"/>
      <w:szCs w:val="20"/>
    </w:rPr>
  </w:style>
  <w:style w:type="paragraph" w:styleId="5">
    <w:name w:val="Date"/>
    <w:basedOn w:val="1"/>
    <w:next w:val="1"/>
    <w:autoRedefine/>
    <w:qFormat/>
    <w:uiPriority w:val="0"/>
    <w:rPr>
      <w:rFonts w:ascii="仿宋_GB2312" w:eastAsia="仿宋_GB2312"/>
      <w:sz w:val="24"/>
      <w:szCs w:val="20"/>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autoRedefine/>
    <w:qFormat/>
    <w:uiPriority w:val="0"/>
    <w:pPr>
      <w:spacing w:before="240" w:after="60"/>
      <w:jc w:val="center"/>
      <w:outlineLvl w:val="0"/>
    </w:pPr>
    <w:rPr>
      <w:rFonts w:ascii="Cambria" w:hAnsi="Cambria"/>
      <w:b/>
      <w:bCs/>
      <w:sz w:val="32"/>
      <w:szCs w:val="32"/>
    </w:rPr>
  </w:style>
  <w:style w:type="table" w:styleId="10">
    <w:name w:val="Table Grid"/>
    <w:basedOn w:val="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autoRedefine/>
    <w:qFormat/>
    <w:uiPriority w:val="0"/>
  </w:style>
  <w:style w:type="character" w:styleId="13">
    <w:name w:val="FollowedHyperlink"/>
    <w:basedOn w:val="11"/>
    <w:autoRedefine/>
    <w:semiHidden/>
    <w:unhideWhenUsed/>
    <w:qFormat/>
    <w:uiPriority w:val="99"/>
    <w:rPr>
      <w:color w:val="800080"/>
      <w:u w:val="single"/>
    </w:rPr>
  </w:style>
  <w:style w:type="character" w:styleId="14">
    <w:name w:val="Hyperlink"/>
    <w:autoRedefine/>
    <w:unhideWhenUsed/>
    <w:qFormat/>
    <w:uiPriority w:val="99"/>
    <w:rPr>
      <w:color w:val="0000FF"/>
      <w:u w:val="single"/>
    </w:rPr>
  </w:style>
  <w:style w:type="paragraph" w:customStyle="1" w:styleId="15">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2959</Words>
  <Characters>3490</Characters>
  <Lines>35</Lines>
  <Paragraphs>10</Paragraphs>
  <TotalTime>0</TotalTime>
  <ScaleCrop>false</ScaleCrop>
  <LinksUpToDate>false</LinksUpToDate>
  <CharactersWithSpaces>4773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2021-12-08T01:31:00Z</dcterms:created>
  <dc:creator>Rainbow虹✨</dc:creator>
  <cp:lastModifiedBy>芋泥麻薯小圆子</cp:lastModifiedBy>
  <dcterms:modified xsi:type="dcterms:W3CDTF">2024-04-07T06:34:47Z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8D3EC7BBA679457489AA6C3B31A8B51D</vt:lpwstr>
  </property>
</Properties>
</file>